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C862" w14:textId="77777777" w:rsidR="004C1A9B" w:rsidRDefault="004C1A9B" w:rsidP="004C1A9B">
      <w:pPr>
        <w:rPr>
          <w:rFonts w:ascii="Arial" w:hAnsi="Arial" w:cs="Arial"/>
        </w:rPr>
      </w:pPr>
      <w:r w:rsidRPr="004C1A9B">
        <w:rPr>
          <w:rFonts w:ascii="Arial" w:hAnsi="Arial" w:cs="Arial"/>
        </w:rPr>
        <w:t>Suite aux grands incendies de l'été 2022, la loi n° 2023-580 du 10 juillet 2023 visant à renforcer la prévention et la lutte contre l’intensification et l’extension du risque incendie a été promulguée.</w:t>
      </w:r>
      <w:r w:rsidRPr="004C1A9B">
        <w:rPr>
          <w:rFonts w:ascii="Arial" w:hAnsi="Arial" w:cs="Arial"/>
        </w:rPr>
        <w:br/>
        <w:t>Cette loi a introduit plusieurs changements concernant les obligations légales de débroussaillement. Des décrets restent à venir.</w:t>
      </w:r>
      <w:r w:rsidRPr="004C1A9B">
        <w:rPr>
          <w:rFonts w:ascii="Arial" w:hAnsi="Arial" w:cs="Arial"/>
        </w:rPr>
        <w:br/>
      </w:r>
    </w:p>
    <w:p w14:paraId="36B94C90" w14:textId="05D4C421" w:rsidR="009B4552" w:rsidRPr="004C1A9B" w:rsidRDefault="004C1A9B" w:rsidP="004C1A9B">
      <w:pPr>
        <w:rPr>
          <w:rFonts w:ascii="Arial" w:hAnsi="Arial" w:cs="Arial"/>
        </w:rPr>
      </w:pPr>
      <w:r w:rsidRPr="004C1A9B">
        <w:rPr>
          <w:rFonts w:ascii="Arial" w:hAnsi="Arial" w:cs="Arial"/>
          <w:b/>
          <w:bCs/>
          <w:u w:val="single"/>
        </w:rPr>
        <w:t>Superposition entre le périmètre de débroussaillement autour d'une habitation et celui le long d'une route (Code forestier : article L131-13, abrogation de l'article L134-14) :</w:t>
      </w:r>
      <w:r w:rsidRPr="004C1A9B">
        <w:rPr>
          <w:rFonts w:ascii="Arial" w:hAnsi="Arial" w:cs="Arial"/>
        </w:rPr>
        <w:br/>
        <w:t>Le propriétaire d’une maison dont le périmètre de débroussaillement se superpose avec celui d’une route devra désormais débroussailler la zone de superposition sur son terrain (cf. schéma ci-dessous).</w:t>
      </w:r>
      <w:r w:rsidRPr="004C1A9B">
        <w:rPr>
          <w:rFonts w:ascii="Arial" w:hAnsi="Arial" w:cs="Arial"/>
        </w:rPr>
        <w:br/>
        <w:t>Auparavant, c'est le gestionnaire de la route qui devait assurer le débroussaillement chez le propriétaire de la maison.</w:t>
      </w:r>
      <w:r w:rsidRPr="004C1A9B">
        <w:rPr>
          <w:rFonts w:ascii="Arial" w:hAnsi="Arial" w:cs="Arial"/>
        </w:rPr>
        <w:br/>
      </w:r>
      <w:r>
        <w:rPr>
          <w:rFonts w:ascii="Marianne" w:hAnsi="Marianne"/>
          <w:sz w:val="20"/>
          <w:szCs w:val="20"/>
        </w:rPr>
        <w:br/>
      </w:r>
      <w:r>
        <w:rPr>
          <w:rFonts w:ascii="Marianne" w:hAnsi="Marianne"/>
          <w:noProof/>
          <w:sz w:val="20"/>
          <w:szCs w:val="20"/>
        </w:rPr>
        <w:drawing>
          <wp:inline distT="0" distB="0" distL="0" distR="0" wp14:anchorId="0D31D875" wp14:editId="08EBCCBE">
            <wp:extent cx="4657725" cy="2628900"/>
            <wp:effectExtent l="0" t="0" r="9525" b="0"/>
            <wp:docPr id="174064584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arianne" w:hAnsi="Marianne"/>
          <w:sz w:val="20"/>
          <w:szCs w:val="20"/>
        </w:rPr>
        <w:br/>
      </w:r>
      <w:r>
        <w:t>Illustration : en jaune, le débroussaillement à la charge du propriétaire A. En gris, le débroussaillement à la charge du gestionnaire de la route.</w:t>
      </w:r>
      <w:r>
        <w:br/>
      </w:r>
      <w:r>
        <w:rPr>
          <w:rFonts w:ascii="Marianne" w:hAnsi="Marianne"/>
          <w:b/>
          <w:bCs/>
          <w:sz w:val="20"/>
          <w:szCs w:val="20"/>
          <w:u w:val="single"/>
        </w:rPr>
        <w:br/>
      </w:r>
      <w:r w:rsidRPr="004C1A9B">
        <w:rPr>
          <w:rFonts w:ascii="Arial" w:hAnsi="Arial" w:cs="Arial"/>
          <w:b/>
          <w:bCs/>
          <w:u w:val="single"/>
        </w:rPr>
        <w:t>Superposition d’obligation entre voisins :</w:t>
      </w:r>
      <w:r w:rsidRPr="004C1A9B">
        <w:rPr>
          <w:rFonts w:ascii="Arial" w:hAnsi="Arial" w:cs="Arial"/>
        </w:rPr>
        <w:br/>
        <w:t xml:space="preserve">Dorénavant, lorsque deux propriétaires ont leurs périmètres de débroussaillement qui se superposent sur le terrain d'un tiers non soumis à cette obligation, chacune des personnes soumises à ces obligations débroussaille les parties les </w:t>
      </w:r>
      <w:r w:rsidRPr="004C1A9B">
        <w:rPr>
          <w:rFonts w:ascii="Arial" w:hAnsi="Arial" w:cs="Arial"/>
          <w:u w:val="single"/>
        </w:rPr>
        <w:t>plus proches des limites de parcelles</w:t>
      </w:r>
      <w:r w:rsidRPr="004C1A9B">
        <w:rPr>
          <w:rFonts w:ascii="Arial" w:hAnsi="Arial" w:cs="Arial"/>
        </w:rPr>
        <w:t xml:space="preserve"> abritant la construction (L.131-13 du Code forestier). Lorsque les parcelles sont alignées, chacun débroussaille donc au droit de son terrain (cf. schémas ci-dessous).</w:t>
      </w:r>
      <w:r w:rsidRPr="004C1A9B">
        <w:rPr>
          <w:rFonts w:ascii="Arial" w:hAnsi="Arial" w:cs="Arial"/>
        </w:rPr>
        <w:br/>
      </w:r>
      <w:r>
        <w:rPr>
          <w:rFonts w:ascii="Marianne" w:hAnsi="Marianne"/>
          <w:sz w:val="20"/>
          <w:szCs w:val="20"/>
        </w:rPr>
        <w:br/>
      </w:r>
      <w:r>
        <w:rPr>
          <w:rFonts w:ascii="Marianne" w:hAnsi="Marianne"/>
          <w:noProof/>
          <w:sz w:val="20"/>
          <w:szCs w:val="20"/>
        </w:rPr>
        <w:drawing>
          <wp:inline distT="0" distB="0" distL="0" distR="0" wp14:anchorId="4C49A824" wp14:editId="0322D1CE">
            <wp:extent cx="2333625" cy="1504950"/>
            <wp:effectExtent l="0" t="0" r="9525" b="0"/>
            <wp:docPr id="28678303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arianne" w:hAnsi="Marianne"/>
          <w:sz w:val="20"/>
          <w:szCs w:val="20"/>
        </w:rPr>
        <w:br/>
        <w:t>Exemple 1</w:t>
      </w:r>
      <w:r>
        <w:rPr>
          <w:rFonts w:ascii="Marianne" w:hAnsi="Marianne"/>
          <w:sz w:val="20"/>
          <w:szCs w:val="20"/>
        </w:rPr>
        <w:br/>
      </w:r>
      <w:r>
        <w:rPr>
          <w:rFonts w:ascii="Marianne" w:hAnsi="Marianne"/>
          <w:sz w:val="20"/>
          <w:szCs w:val="20"/>
        </w:rPr>
        <w:br/>
      </w:r>
      <w:r>
        <w:rPr>
          <w:rFonts w:ascii="Marianne" w:hAnsi="Marianne"/>
          <w:noProof/>
          <w:sz w:val="20"/>
          <w:szCs w:val="20"/>
        </w:rPr>
        <w:lastRenderedPageBreak/>
        <w:drawing>
          <wp:inline distT="0" distB="0" distL="0" distR="0" wp14:anchorId="40C44A4A" wp14:editId="0FDCD34D">
            <wp:extent cx="2400300" cy="1504950"/>
            <wp:effectExtent l="0" t="0" r="0" b="0"/>
            <wp:docPr id="19594261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arianne" w:hAnsi="Marianne"/>
          <w:sz w:val="20"/>
          <w:szCs w:val="20"/>
        </w:rPr>
        <w:br/>
        <w:t>Exemple 2</w:t>
      </w:r>
      <w:r>
        <w:br/>
      </w:r>
      <w:r>
        <w:br/>
      </w:r>
      <w:r w:rsidRPr="004C1A9B">
        <w:rPr>
          <w:rFonts w:ascii="Arial" w:hAnsi="Arial" w:cs="Arial"/>
          <w:b/>
          <w:bCs/>
          <w:u w:val="single"/>
        </w:rPr>
        <w:t>Débroussaillement sur le terrain d'autrui:</w:t>
      </w:r>
      <w:r w:rsidRPr="004C1A9B">
        <w:rPr>
          <w:rFonts w:ascii="Arial" w:hAnsi="Arial" w:cs="Arial"/>
        </w:rPr>
        <w:br/>
        <w:t>Quand un propriétaire devant débroussailler sur le terrain de son voisin a obtenu de celui-ci  l'autorisation de pénétrer pour réaliser les travaux,  cette autorisation du voisin est maintenant valable 3 ans (R.131-14 CF).</w:t>
      </w:r>
      <w:r w:rsidRPr="004C1A9B">
        <w:rPr>
          <w:rFonts w:ascii="Arial" w:hAnsi="Arial" w:cs="Arial"/>
        </w:rPr>
        <w:br/>
      </w:r>
      <w:r w:rsidRPr="004C1A9B">
        <w:rPr>
          <w:rFonts w:ascii="Arial" w:hAnsi="Arial" w:cs="Arial"/>
        </w:rPr>
        <w:br/>
      </w:r>
      <w:r w:rsidRPr="004C1A9B">
        <w:rPr>
          <w:rFonts w:ascii="Arial" w:hAnsi="Arial" w:cs="Arial"/>
          <w:b/>
          <w:bCs/>
          <w:u w:val="single"/>
        </w:rPr>
        <w:t>Exploitation forestière en zone OLD:</w:t>
      </w:r>
      <w:r w:rsidRPr="004C1A9B">
        <w:rPr>
          <w:rFonts w:ascii="Arial" w:hAnsi="Arial" w:cs="Arial"/>
        </w:rPr>
        <w:br/>
        <w:t>Après toute exploitation forestière en zone OLD, le propriétaire de la parcelle élimine les rémanents et les branchages (134-4 du Code forestier).</w:t>
      </w:r>
      <w:r w:rsidRPr="004C1A9B">
        <w:rPr>
          <w:rFonts w:ascii="Arial" w:hAnsi="Arial" w:cs="Arial"/>
        </w:rPr>
        <w:br/>
      </w:r>
      <w:r>
        <w:rPr>
          <w:rFonts w:ascii="Marianne" w:hAnsi="Marianne"/>
          <w:sz w:val="20"/>
          <w:szCs w:val="20"/>
        </w:rPr>
        <w:br/>
      </w:r>
      <w:r w:rsidRPr="004C1A9B">
        <w:rPr>
          <w:rFonts w:ascii="Arial" w:hAnsi="Arial" w:cs="Arial"/>
          <w:b/>
          <w:bCs/>
          <w:u w:val="single"/>
        </w:rPr>
        <w:t>Travaux collectifs:</w:t>
      </w:r>
      <w:r w:rsidRPr="004C1A9B">
        <w:rPr>
          <w:rFonts w:ascii="Arial" w:hAnsi="Arial" w:cs="Arial"/>
        </w:rPr>
        <w:br/>
        <w:t>Des travaux collectifs peuvent être réalisés par la commune avec l’accord écrit ou tacite des propriétaires (remboursement des frais par les propriétaires concernés - L131-14 du Code forestier).</w:t>
      </w:r>
      <w:r w:rsidRPr="004C1A9B">
        <w:rPr>
          <w:rFonts w:ascii="Arial" w:hAnsi="Arial" w:cs="Arial"/>
        </w:rPr>
        <w:br/>
      </w:r>
      <w:r>
        <w:rPr>
          <w:rFonts w:ascii="Marianne" w:hAnsi="Marianne"/>
          <w:b/>
          <w:bCs/>
          <w:sz w:val="20"/>
          <w:szCs w:val="20"/>
          <w:u w:val="single"/>
        </w:rPr>
        <w:br/>
      </w:r>
      <w:r w:rsidRPr="004C1A9B">
        <w:rPr>
          <w:rFonts w:ascii="Arial" w:hAnsi="Arial" w:cs="Arial"/>
          <w:b/>
          <w:bCs/>
          <w:u w:val="single"/>
        </w:rPr>
        <w:t>Intégration au PLU des zone à OLD:</w:t>
      </w:r>
      <w:r w:rsidRPr="004C1A9B">
        <w:rPr>
          <w:rFonts w:ascii="Arial" w:hAnsi="Arial" w:cs="Arial"/>
        </w:rPr>
        <w:br/>
        <w:t>Intégration au PLU des périmètres des terrains concernés par le débroussaillement (L131-16-1 du Code forestier). Un décret d'application est à venir.</w:t>
      </w:r>
      <w:r w:rsidRPr="004C1A9B">
        <w:rPr>
          <w:rFonts w:ascii="Arial" w:hAnsi="Arial" w:cs="Arial"/>
        </w:rPr>
        <w:br/>
      </w:r>
      <w:r>
        <w:rPr>
          <w:rFonts w:ascii="Marianne" w:hAnsi="Marianne"/>
          <w:sz w:val="20"/>
          <w:szCs w:val="20"/>
        </w:rPr>
        <w:br/>
      </w:r>
      <w:r w:rsidRPr="004C1A9B">
        <w:rPr>
          <w:rFonts w:ascii="Arial" w:hAnsi="Arial" w:cs="Arial"/>
          <w:b/>
          <w:bCs/>
          <w:u w:val="single"/>
        </w:rPr>
        <w:t xml:space="preserve">Mutations de </w:t>
      </w:r>
      <w:r w:rsidRPr="004C1A9B">
        <w:rPr>
          <w:rFonts w:ascii="Arial" w:hAnsi="Arial" w:cs="Arial"/>
          <w:b/>
          <w:bCs/>
          <w:u w:val="single"/>
        </w:rPr>
        <w:t>biens :</w:t>
      </w:r>
      <w:r w:rsidRPr="004C1A9B">
        <w:rPr>
          <w:rFonts w:ascii="Arial" w:hAnsi="Arial" w:cs="Arial"/>
        </w:rPr>
        <w:br/>
        <w:t>Conformité du débroussaillement avant la vente d'un bien (L134-16 du Code forestier). Un décret d'application est à venir.</w:t>
      </w:r>
      <w:r w:rsidRPr="004C1A9B">
        <w:rPr>
          <w:rFonts w:ascii="Arial" w:hAnsi="Arial" w:cs="Arial"/>
        </w:rPr>
        <w:br/>
      </w:r>
      <w:r>
        <w:rPr>
          <w:rFonts w:ascii="Marianne" w:hAnsi="Marianne"/>
          <w:sz w:val="20"/>
          <w:szCs w:val="20"/>
        </w:rPr>
        <w:br/>
      </w:r>
      <w:r w:rsidRPr="004C1A9B">
        <w:rPr>
          <w:rFonts w:ascii="Arial" w:hAnsi="Arial" w:cs="Arial"/>
          <w:b/>
          <w:bCs/>
          <w:u w:val="single"/>
        </w:rPr>
        <w:t xml:space="preserve">Sites inscrit ou </w:t>
      </w:r>
      <w:r w:rsidRPr="004C1A9B">
        <w:rPr>
          <w:rFonts w:ascii="Arial" w:hAnsi="Arial" w:cs="Arial"/>
          <w:b/>
          <w:bCs/>
          <w:u w:val="single"/>
        </w:rPr>
        <w:t>classés :</w:t>
      </w:r>
      <w:r w:rsidRPr="004C1A9B">
        <w:rPr>
          <w:rFonts w:ascii="Arial" w:hAnsi="Arial" w:cs="Arial"/>
        </w:rPr>
        <w:br/>
        <w:t>En site inscrits ou classés et dans les périmètres des monuments historiques, les OLD sont considérés comme des travaux d'entretien qui ne sont pas soumis à</w:t>
      </w:r>
      <w:r w:rsidRPr="004C1A9B">
        <w:rPr>
          <w:rFonts w:ascii="Arial" w:hAnsi="Arial" w:cs="Arial"/>
        </w:rPr>
        <w:br/>
        <w:t>autorisation ou à une obligation de déclaration, à l'exclusion des abattages d'arbres de haute tige pour lesquels des procédures d'autorisation simplifiées sont définies par décret (L131-10 du CF). Un décret d'application est donc à venir.</w:t>
      </w:r>
      <w:r w:rsidRPr="004C1A9B">
        <w:rPr>
          <w:rFonts w:ascii="Arial" w:hAnsi="Arial" w:cs="Arial"/>
        </w:rPr>
        <w:br/>
      </w:r>
    </w:p>
    <w:sectPr w:rsidR="009B4552" w:rsidRPr="004C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9B"/>
    <w:rsid w:val="004C1A9B"/>
    <w:rsid w:val="009B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DFB6"/>
  <w15:chartTrackingRefBased/>
  <w15:docId w15:val="{772C3EAE-30F8-41AC-B66D-2D11A8E5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part2.DED81E26.A64F3CF3@gard.gouv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part1.95C84B25.E21BF04E@gard.gouv.f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part3.1B2D8FAF.84507E14@gard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2024-04-05T09:10:00Z</dcterms:created>
  <dcterms:modified xsi:type="dcterms:W3CDTF">2024-04-05T09:15:00Z</dcterms:modified>
</cp:coreProperties>
</file>