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32AA9" w14:textId="77777777" w:rsidR="0015099D" w:rsidRDefault="0015099D" w:rsidP="0015099D">
      <w:pPr>
        <w:jc w:val="center"/>
        <w:rPr>
          <w:rFonts w:ascii="Arial" w:hAnsi="Arial" w:cs="Arial"/>
          <w:b/>
          <w:sz w:val="24"/>
          <w:szCs w:val="24"/>
          <w:u w:val="single"/>
        </w:rPr>
      </w:pPr>
      <w:bookmarkStart w:id="0" w:name="_Hlk187311083"/>
      <w:r>
        <w:rPr>
          <w:rFonts w:ascii="Arial" w:hAnsi="Arial" w:cs="Arial"/>
          <w:b/>
          <w:sz w:val="24"/>
          <w:szCs w:val="24"/>
          <w:u w:val="single"/>
        </w:rPr>
        <w:t>DELIBERATIONS DU CONSEIL MUNICIPAL</w:t>
      </w:r>
    </w:p>
    <w:bookmarkEnd w:id="0"/>
    <w:p w14:paraId="10E874C8" w14:textId="77777777" w:rsidR="0015099D" w:rsidRDefault="0015099D" w:rsidP="0015099D">
      <w:pPr>
        <w:jc w:val="center"/>
        <w:rPr>
          <w:rFonts w:ascii="Arial" w:hAnsi="Arial" w:cs="Arial"/>
          <w:b/>
        </w:rPr>
      </w:pPr>
      <w:r>
        <w:rPr>
          <w:rFonts w:ascii="Arial" w:hAnsi="Arial" w:cs="Arial"/>
          <w:b/>
          <w:u w:val="single"/>
        </w:rPr>
        <w:t>SEANCE DU 30 JANVIER 2025</w:t>
      </w:r>
    </w:p>
    <w:p w14:paraId="40D4D8E6" w14:textId="77777777" w:rsidR="0015099D" w:rsidRDefault="0015099D" w:rsidP="0015099D">
      <w:pPr>
        <w:jc w:val="both"/>
        <w:rPr>
          <w:rFonts w:ascii="Arial" w:hAnsi="Arial" w:cs="Arial"/>
          <w:b/>
        </w:rPr>
      </w:pPr>
      <w:r>
        <w:rPr>
          <w:rFonts w:ascii="Arial" w:hAnsi="Arial" w:cs="Arial"/>
          <w:b/>
        </w:rPr>
        <w:t xml:space="preserve">L’an deux mil vingt-cinq et le trente janvier les membres du conseil municipal de la commune de Saint-Félix-de-Pallières régulièrement convoqués se sont réunis dans la salle polyvalente sous la présidence de </w:t>
      </w:r>
      <w:r>
        <w:rPr>
          <w:rFonts w:ascii="Arial" w:hAnsi="Arial" w:cs="Arial"/>
          <w:bCs/>
        </w:rPr>
        <w:t>Mr Michel SALA, maire</w:t>
      </w:r>
    </w:p>
    <w:p w14:paraId="4091CAE4" w14:textId="77777777" w:rsidR="0015099D" w:rsidRDefault="0015099D" w:rsidP="0015099D">
      <w:pPr>
        <w:rPr>
          <w:rFonts w:ascii="Arial" w:hAnsi="Arial" w:cs="Arial"/>
          <w:b/>
        </w:rPr>
      </w:pPr>
    </w:p>
    <w:p w14:paraId="342176C7" w14:textId="77777777" w:rsidR="0015099D" w:rsidRDefault="0015099D" w:rsidP="0015099D">
      <w:pPr>
        <w:rPr>
          <w:rFonts w:ascii="Arial" w:hAnsi="Arial" w:cs="Arial"/>
          <w:b/>
        </w:rPr>
      </w:pPr>
      <w:r>
        <w:rPr>
          <w:rFonts w:ascii="Arial" w:hAnsi="Arial" w:cs="Arial"/>
          <w:b/>
        </w:rPr>
        <w:t>Convocation : 24 janvier 2025</w:t>
      </w:r>
    </w:p>
    <w:p w14:paraId="02D683FE" w14:textId="77777777" w:rsidR="0015099D" w:rsidRDefault="0015099D" w:rsidP="0015099D">
      <w:pPr>
        <w:rPr>
          <w:rFonts w:ascii="Arial" w:hAnsi="Arial" w:cs="Arial"/>
          <w:b/>
          <w:color w:val="FF0000"/>
        </w:rPr>
      </w:pPr>
    </w:p>
    <w:p w14:paraId="7A9256A0" w14:textId="77777777" w:rsidR="0015099D" w:rsidRDefault="0015099D" w:rsidP="0015099D">
      <w:pPr>
        <w:rPr>
          <w:rFonts w:ascii="Arial" w:hAnsi="Arial" w:cs="Arial"/>
          <w:bCs/>
        </w:rPr>
      </w:pPr>
      <w:r>
        <w:rPr>
          <w:rFonts w:ascii="Arial" w:hAnsi="Arial" w:cs="Arial"/>
          <w:b/>
        </w:rPr>
        <w:t>Présents :</w:t>
      </w:r>
      <w:r>
        <w:rPr>
          <w:rFonts w:ascii="Arial" w:hAnsi="Arial" w:cs="Arial"/>
          <w:bCs/>
        </w:rPr>
        <w:t xml:space="preserve"> Mmes FONTAINE I., LECLERCQ K., Mrs BOUCHI-LAMONTAGNE J.C., PILATTE P., WEITZ B.</w:t>
      </w:r>
    </w:p>
    <w:p w14:paraId="5B123089" w14:textId="77777777" w:rsidR="0015099D" w:rsidRDefault="0015099D" w:rsidP="0015099D">
      <w:pPr>
        <w:rPr>
          <w:rFonts w:ascii="Arial" w:hAnsi="Arial" w:cs="Arial"/>
          <w:bCs/>
        </w:rPr>
      </w:pPr>
      <w:r>
        <w:rPr>
          <w:rFonts w:ascii="Arial" w:hAnsi="Arial" w:cs="Arial"/>
          <w:b/>
        </w:rPr>
        <w:t>Absente :</w:t>
      </w:r>
      <w:r>
        <w:rPr>
          <w:rFonts w:ascii="Arial" w:hAnsi="Arial" w:cs="Arial"/>
          <w:bCs/>
        </w:rPr>
        <w:t xml:space="preserve"> LOUBIER M.</w:t>
      </w:r>
    </w:p>
    <w:p w14:paraId="63DCE4A3" w14:textId="77777777" w:rsidR="0015099D" w:rsidRDefault="0015099D" w:rsidP="0015099D">
      <w:pPr>
        <w:rPr>
          <w:rFonts w:ascii="Arial" w:hAnsi="Arial" w:cs="Arial"/>
          <w:bCs/>
        </w:rPr>
      </w:pPr>
      <w:r>
        <w:rPr>
          <w:rFonts w:ascii="Arial" w:hAnsi="Arial" w:cs="Arial"/>
          <w:b/>
        </w:rPr>
        <w:t>Absente excusée :</w:t>
      </w:r>
      <w:r>
        <w:rPr>
          <w:rFonts w:ascii="Arial" w:hAnsi="Arial" w:cs="Arial"/>
          <w:bCs/>
        </w:rPr>
        <w:t xml:space="preserve"> Mme JEAN C.</w:t>
      </w:r>
    </w:p>
    <w:p w14:paraId="2C3C3E7F" w14:textId="77777777" w:rsidR="0015099D" w:rsidRDefault="0015099D" w:rsidP="0015099D">
      <w:pPr>
        <w:rPr>
          <w:rFonts w:ascii="Arial" w:hAnsi="Arial" w:cs="Arial"/>
          <w:bCs/>
        </w:rPr>
      </w:pPr>
      <w:r>
        <w:rPr>
          <w:rFonts w:ascii="Arial" w:hAnsi="Arial" w:cs="Arial"/>
          <w:b/>
        </w:rPr>
        <w:t>Pouvoir :</w:t>
      </w:r>
      <w:r>
        <w:rPr>
          <w:rFonts w:ascii="Arial" w:hAnsi="Arial" w:cs="Arial"/>
          <w:bCs/>
        </w:rPr>
        <w:t xml:space="preserve"> Mme RAYMOND S. a donné pouvoir à Mr WEITZ B.</w:t>
      </w:r>
    </w:p>
    <w:p w14:paraId="1E365C97" w14:textId="77777777" w:rsidR="0015099D" w:rsidRDefault="0015099D" w:rsidP="0015099D">
      <w:pPr>
        <w:rPr>
          <w:rFonts w:ascii="Arial" w:hAnsi="Arial" w:cs="Arial"/>
          <w:bCs/>
        </w:rPr>
      </w:pPr>
      <w:r>
        <w:rPr>
          <w:rFonts w:ascii="Arial" w:hAnsi="Arial" w:cs="Arial"/>
          <w:bCs/>
        </w:rPr>
        <w:t xml:space="preserve">                 Mme ROCHER M. a donné pouvoir à Mr SALA M.</w:t>
      </w:r>
    </w:p>
    <w:p w14:paraId="268AC727" w14:textId="77777777" w:rsidR="0015099D" w:rsidRDefault="0015099D" w:rsidP="0015099D">
      <w:pPr>
        <w:rPr>
          <w:rFonts w:ascii="Arial" w:hAnsi="Arial" w:cs="Arial"/>
          <w:bCs/>
        </w:rPr>
      </w:pPr>
    </w:p>
    <w:p w14:paraId="3506E2C8" w14:textId="77777777" w:rsidR="0015099D" w:rsidRDefault="0015099D" w:rsidP="0015099D">
      <w:pPr>
        <w:rPr>
          <w:rFonts w:ascii="Arial" w:hAnsi="Arial" w:cs="Arial"/>
          <w:bCs/>
        </w:rPr>
      </w:pPr>
      <w:r>
        <w:rPr>
          <w:rFonts w:ascii="Arial" w:hAnsi="Arial" w:cs="Arial"/>
          <w:b/>
        </w:rPr>
        <w:t>Le conseil municipal a ensuite choisi pour secrétaire</w:t>
      </w:r>
      <w:r>
        <w:rPr>
          <w:rFonts w:ascii="Arial" w:hAnsi="Arial" w:cs="Arial"/>
          <w:bCs/>
        </w:rPr>
        <w:t xml:space="preserve"> </w:t>
      </w:r>
      <w:r>
        <w:rPr>
          <w:rFonts w:ascii="Arial" w:hAnsi="Arial" w:cs="Arial"/>
          <w:b/>
        </w:rPr>
        <w:t>:</w:t>
      </w:r>
      <w:r>
        <w:rPr>
          <w:rFonts w:ascii="Arial" w:hAnsi="Arial" w:cs="Arial"/>
          <w:bCs/>
        </w:rPr>
        <w:t xml:space="preserve"> Mme FONTAINE Isabelle. </w:t>
      </w:r>
    </w:p>
    <w:p w14:paraId="6436F4A9" w14:textId="77777777" w:rsidR="0015099D" w:rsidRDefault="0015099D" w:rsidP="0015099D">
      <w:pPr>
        <w:rPr>
          <w:rFonts w:ascii="Arial" w:hAnsi="Arial" w:cs="Arial"/>
          <w:b/>
          <w:color w:val="FF0000"/>
        </w:rPr>
      </w:pPr>
    </w:p>
    <w:p w14:paraId="2B54E7B7" w14:textId="77777777" w:rsidR="0015099D" w:rsidRDefault="0015099D" w:rsidP="0015099D">
      <w:pPr>
        <w:rPr>
          <w:rFonts w:ascii="Arial" w:hAnsi="Arial" w:cs="Arial"/>
          <w:b/>
          <w:bCs/>
          <w:sz w:val="24"/>
          <w:szCs w:val="24"/>
          <w:u w:val="single"/>
        </w:rPr>
      </w:pPr>
      <w:r>
        <w:rPr>
          <w:rFonts w:ascii="Arial" w:hAnsi="Arial" w:cs="Arial"/>
          <w:b/>
          <w:bCs/>
          <w:sz w:val="24"/>
          <w:szCs w:val="24"/>
          <w:u w:val="single"/>
        </w:rPr>
        <w:t>001– APPROBATION DU COMPTE RENDU DU 02 DECEMBRE 2024</w:t>
      </w:r>
    </w:p>
    <w:p w14:paraId="734A15AB" w14:textId="77777777" w:rsidR="0015099D" w:rsidRDefault="0015099D" w:rsidP="0015099D">
      <w:pPr>
        <w:jc w:val="both"/>
        <w:rPr>
          <w:rFonts w:ascii="Arial" w:hAnsi="Arial" w:cs="Arial"/>
        </w:rPr>
      </w:pPr>
      <w:r>
        <w:rPr>
          <w:rFonts w:ascii="Arial" w:hAnsi="Arial" w:cs="Arial"/>
        </w:rPr>
        <w:t xml:space="preserve">Le compte rendu du conseil municipal du 02 décembre 2024 n’ayant fait l’objet d’aucune observation est adopté à l’unanimité des membres présents plus deux pouvoirs. </w:t>
      </w:r>
    </w:p>
    <w:p w14:paraId="7C2E382E" w14:textId="77777777" w:rsidR="0015099D" w:rsidRDefault="0015099D" w:rsidP="0015099D">
      <w:pPr>
        <w:jc w:val="both"/>
        <w:rPr>
          <w:rFonts w:ascii="Arial" w:hAnsi="Arial" w:cs="Arial"/>
        </w:rPr>
      </w:pPr>
    </w:p>
    <w:p w14:paraId="142E2EAE" w14:textId="77777777" w:rsidR="0015099D" w:rsidRDefault="0015099D" w:rsidP="0015099D">
      <w:pPr>
        <w:jc w:val="both"/>
        <w:rPr>
          <w:rFonts w:ascii="Arial" w:hAnsi="Arial" w:cs="Arial"/>
          <w:b/>
          <w:bCs/>
          <w:sz w:val="24"/>
          <w:szCs w:val="24"/>
          <w:u w:val="single"/>
        </w:rPr>
      </w:pPr>
      <w:r>
        <w:rPr>
          <w:rFonts w:ascii="Arial" w:hAnsi="Arial" w:cs="Arial"/>
          <w:b/>
          <w:bCs/>
          <w:sz w:val="24"/>
          <w:szCs w:val="24"/>
          <w:u w:val="single"/>
        </w:rPr>
        <w:t>002 – APPROBATION DU RAPPORT DE LA CLETC</w:t>
      </w:r>
    </w:p>
    <w:p w14:paraId="4AC18753" w14:textId="77777777" w:rsidR="0015099D" w:rsidRDefault="0015099D" w:rsidP="0015099D">
      <w:pPr>
        <w:pStyle w:val="Default"/>
        <w:jc w:val="both"/>
        <w:rPr>
          <w:rFonts w:ascii="Arial" w:hAnsi="Arial" w:cs="Arial"/>
          <w:sz w:val="22"/>
          <w:szCs w:val="22"/>
        </w:rPr>
      </w:pPr>
      <w:r>
        <w:rPr>
          <w:rFonts w:ascii="Arial" w:hAnsi="Arial" w:cs="Arial"/>
          <w:sz w:val="22"/>
          <w:szCs w:val="22"/>
        </w:rPr>
        <w:t>Le Conseil Municipal,</w:t>
      </w:r>
    </w:p>
    <w:p w14:paraId="7D716B3E" w14:textId="77777777" w:rsidR="0015099D" w:rsidRDefault="0015099D" w:rsidP="0015099D">
      <w:pPr>
        <w:pStyle w:val="Default"/>
        <w:jc w:val="both"/>
        <w:rPr>
          <w:rFonts w:ascii="Arial" w:hAnsi="Arial" w:cs="Arial"/>
          <w:sz w:val="22"/>
          <w:szCs w:val="22"/>
        </w:rPr>
      </w:pPr>
      <w:r>
        <w:rPr>
          <w:rFonts w:ascii="Arial" w:hAnsi="Arial" w:cs="Arial"/>
          <w:sz w:val="22"/>
          <w:szCs w:val="22"/>
        </w:rPr>
        <w:t xml:space="preserve">Vu les dispositions de la loi du 12 juillet 1999, relative au remplacement et à la simplification de la coopération intercommunale </w:t>
      </w:r>
    </w:p>
    <w:p w14:paraId="032C1F8A" w14:textId="77777777" w:rsidR="0015099D" w:rsidRDefault="0015099D" w:rsidP="0015099D">
      <w:pPr>
        <w:pStyle w:val="Default"/>
        <w:jc w:val="both"/>
        <w:rPr>
          <w:rFonts w:ascii="Arial" w:hAnsi="Arial" w:cs="Arial"/>
          <w:sz w:val="22"/>
          <w:szCs w:val="22"/>
        </w:rPr>
      </w:pPr>
      <w:r>
        <w:rPr>
          <w:rFonts w:ascii="Arial" w:hAnsi="Arial" w:cs="Arial"/>
          <w:sz w:val="22"/>
          <w:szCs w:val="22"/>
        </w:rPr>
        <w:t xml:space="preserve">Vu les dispositions du Code des Collectivités Territoriales </w:t>
      </w:r>
    </w:p>
    <w:p w14:paraId="4EC2A7E8" w14:textId="77777777" w:rsidR="0015099D" w:rsidRDefault="0015099D" w:rsidP="0015099D">
      <w:pPr>
        <w:pStyle w:val="Default"/>
        <w:jc w:val="both"/>
        <w:rPr>
          <w:rFonts w:ascii="Arial" w:hAnsi="Arial" w:cs="Arial"/>
          <w:sz w:val="22"/>
          <w:szCs w:val="22"/>
        </w:rPr>
      </w:pPr>
      <w:r>
        <w:rPr>
          <w:rFonts w:ascii="Arial" w:hAnsi="Arial" w:cs="Arial"/>
          <w:sz w:val="22"/>
          <w:szCs w:val="22"/>
        </w:rPr>
        <w:t xml:space="preserve">Vu l’article 1609 nonies C du Code Général des Impôts </w:t>
      </w:r>
    </w:p>
    <w:p w14:paraId="1CB040A8" w14:textId="77777777" w:rsidR="0015099D" w:rsidRDefault="0015099D" w:rsidP="0015099D">
      <w:pPr>
        <w:pStyle w:val="Default"/>
        <w:jc w:val="both"/>
        <w:rPr>
          <w:rFonts w:ascii="Arial" w:hAnsi="Arial" w:cs="Arial"/>
          <w:sz w:val="22"/>
          <w:szCs w:val="22"/>
        </w:rPr>
      </w:pPr>
      <w:r>
        <w:rPr>
          <w:rFonts w:ascii="Arial" w:hAnsi="Arial" w:cs="Arial"/>
          <w:sz w:val="22"/>
          <w:szCs w:val="22"/>
        </w:rPr>
        <w:t xml:space="preserve">Vu les compétences obligatoires, optionnelles et facultatives de la communauté de communes du Piémont Cévenol </w:t>
      </w:r>
    </w:p>
    <w:p w14:paraId="30AD418D" w14:textId="77777777" w:rsidR="0015099D" w:rsidRDefault="0015099D" w:rsidP="0015099D">
      <w:pPr>
        <w:pStyle w:val="Default"/>
        <w:jc w:val="both"/>
        <w:rPr>
          <w:rFonts w:ascii="Arial" w:hAnsi="Arial" w:cs="Arial"/>
          <w:sz w:val="22"/>
          <w:szCs w:val="22"/>
        </w:rPr>
      </w:pPr>
      <w:r>
        <w:rPr>
          <w:rFonts w:ascii="Arial" w:hAnsi="Arial" w:cs="Arial"/>
          <w:sz w:val="22"/>
          <w:szCs w:val="22"/>
        </w:rPr>
        <w:t xml:space="preserve">Vu les dernières délibérations des communes membres relatives à l’attribution de compensation </w:t>
      </w:r>
    </w:p>
    <w:p w14:paraId="01B893DF" w14:textId="77777777" w:rsidR="0015099D" w:rsidRDefault="0015099D" w:rsidP="0015099D">
      <w:pPr>
        <w:pStyle w:val="Default"/>
        <w:jc w:val="both"/>
        <w:rPr>
          <w:rStyle w:val="normaltextrun"/>
          <w:bdr w:val="none" w:sz="0" w:space="0" w:color="auto" w:frame="1"/>
        </w:rPr>
      </w:pPr>
      <w:r>
        <w:rPr>
          <w:rFonts w:ascii="Arial" w:hAnsi="Arial" w:cs="Arial"/>
          <w:sz w:val="22"/>
          <w:szCs w:val="22"/>
        </w:rPr>
        <w:t>Vu la délibération du</w:t>
      </w:r>
      <w:r>
        <w:rPr>
          <w:rStyle w:val="normaltextrun"/>
          <w:rFonts w:ascii="Arial" w:hAnsi="Arial" w:cs="Arial"/>
          <w:sz w:val="22"/>
          <w:szCs w:val="22"/>
          <w:bdr w:val="none" w:sz="0" w:space="0" w:color="auto" w:frame="1"/>
        </w:rPr>
        <w:t xml:space="preserve"> conseil communautaire en date du 26 juin 2024 décidant de transférer la compétence promotion du tourisme à la commune de Sauve sur son territoire </w:t>
      </w:r>
    </w:p>
    <w:p w14:paraId="210D76BB" w14:textId="77777777" w:rsidR="0015099D" w:rsidRDefault="0015099D" w:rsidP="0015099D">
      <w:pPr>
        <w:pStyle w:val="Default"/>
        <w:jc w:val="both"/>
        <w:rPr>
          <w:rStyle w:val="normaltextrun"/>
          <w:rFonts w:ascii="Arial" w:hAnsi="Arial" w:cs="Arial"/>
          <w:sz w:val="22"/>
          <w:szCs w:val="22"/>
          <w:bdr w:val="none" w:sz="0" w:space="0" w:color="auto" w:frame="1"/>
        </w:rPr>
      </w:pPr>
      <w:r>
        <w:rPr>
          <w:rStyle w:val="normaltextrun"/>
          <w:rFonts w:ascii="Arial" w:hAnsi="Arial" w:cs="Arial"/>
          <w:sz w:val="22"/>
          <w:szCs w:val="22"/>
          <w:bdr w:val="none" w:sz="0" w:space="0" w:color="auto" w:frame="1"/>
        </w:rPr>
        <w:t>Vu la délibération du conseil communautaire en date du 25 septembre 2024 décidant de modifier les statuts qui ont été approuvés par les communes dans les règles de majorité qualifiée.</w:t>
      </w:r>
    </w:p>
    <w:p w14:paraId="1C909790" w14:textId="77777777" w:rsidR="0015099D" w:rsidRDefault="0015099D" w:rsidP="0015099D">
      <w:pPr>
        <w:pStyle w:val="Default"/>
        <w:jc w:val="both"/>
        <w:rPr>
          <w:rStyle w:val="normaltextrun"/>
          <w:rFonts w:ascii="Arial" w:hAnsi="Arial" w:cs="Arial"/>
          <w:sz w:val="22"/>
          <w:szCs w:val="22"/>
          <w:bdr w:val="none" w:sz="0" w:space="0" w:color="auto" w:frame="1"/>
        </w:rPr>
      </w:pPr>
      <w:r>
        <w:rPr>
          <w:rStyle w:val="normaltextrun"/>
          <w:rFonts w:ascii="Arial" w:hAnsi="Arial" w:cs="Arial"/>
          <w:sz w:val="22"/>
          <w:szCs w:val="22"/>
          <w:bdr w:val="none" w:sz="0" w:space="0" w:color="auto" w:frame="1"/>
        </w:rPr>
        <w:t>Vu l’arrêté préfectoral en date du 27 décembre 2024 portant modification des statuts de la communauté de communes du Piémont cévenol</w:t>
      </w:r>
    </w:p>
    <w:p w14:paraId="72133F8F" w14:textId="77777777" w:rsidR="0015099D" w:rsidRDefault="0015099D" w:rsidP="0015099D">
      <w:pPr>
        <w:pStyle w:val="Default"/>
        <w:jc w:val="both"/>
      </w:pPr>
      <w:r>
        <w:rPr>
          <w:rFonts w:ascii="Arial" w:hAnsi="Arial" w:cs="Arial"/>
          <w:sz w:val="22"/>
          <w:szCs w:val="22"/>
        </w:rPr>
        <w:t xml:space="preserve">Considérant l’évaluation prospective de la CLETC en date du 27 mai 2024 </w:t>
      </w:r>
    </w:p>
    <w:p w14:paraId="677A3F64" w14:textId="77777777" w:rsidR="0015099D" w:rsidRDefault="0015099D" w:rsidP="0015099D">
      <w:pPr>
        <w:pStyle w:val="Default"/>
        <w:jc w:val="both"/>
        <w:rPr>
          <w:rFonts w:ascii="Arial" w:hAnsi="Arial" w:cs="Arial"/>
          <w:sz w:val="22"/>
          <w:szCs w:val="22"/>
        </w:rPr>
      </w:pPr>
      <w:r>
        <w:rPr>
          <w:rFonts w:ascii="Arial" w:hAnsi="Arial" w:cs="Arial"/>
          <w:sz w:val="22"/>
          <w:szCs w:val="22"/>
        </w:rPr>
        <w:t>Considérant le rapport de la CLETC en date du 11 12 2024 et ses conclusions sur l’évaluation financière</w:t>
      </w:r>
      <w:r>
        <w:rPr>
          <w:rFonts w:ascii="Arial" w:hAnsi="Arial" w:cs="Arial"/>
          <w:sz w:val="22"/>
          <w:szCs w:val="22"/>
          <w:shd w:val="clear" w:color="auto" w:fill="FFFFFF"/>
        </w:rPr>
        <w:t xml:space="preserve"> </w:t>
      </w:r>
      <w:r>
        <w:rPr>
          <w:rStyle w:val="normaltextrun"/>
          <w:rFonts w:ascii="Arial" w:hAnsi="Arial" w:cs="Arial"/>
          <w:sz w:val="22"/>
          <w:szCs w:val="22"/>
          <w:shd w:val="clear" w:color="auto" w:fill="FFFFFF"/>
        </w:rPr>
        <w:t xml:space="preserve">de l’attribution de compensation liée </w:t>
      </w:r>
      <w:r>
        <w:rPr>
          <w:rStyle w:val="normaltextrun"/>
          <w:rFonts w:ascii="Arial" w:hAnsi="Arial" w:cs="Arial"/>
          <w:color w:val="242424"/>
          <w:sz w:val="22"/>
          <w:szCs w:val="22"/>
          <w:shd w:val="clear" w:color="auto" w:fill="FFFFFF"/>
        </w:rPr>
        <w:t>à la restitution de la compétence promotion touristique à la commune de Sauve</w:t>
      </w:r>
      <w:r>
        <w:rPr>
          <w:rFonts w:ascii="Arial" w:hAnsi="Arial" w:cs="Arial"/>
          <w:sz w:val="22"/>
          <w:szCs w:val="22"/>
        </w:rPr>
        <w:t xml:space="preserve">  </w:t>
      </w:r>
    </w:p>
    <w:p w14:paraId="57DED5A4" w14:textId="77777777" w:rsidR="0015099D" w:rsidRDefault="0015099D" w:rsidP="0015099D">
      <w:pPr>
        <w:pStyle w:val="Default"/>
        <w:jc w:val="both"/>
        <w:rPr>
          <w:rFonts w:ascii="Arial" w:hAnsi="Arial" w:cs="Arial"/>
          <w:sz w:val="22"/>
          <w:szCs w:val="22"/>
        </w:rPr>
      </w:pPr>
      <w:r>
        <w:rPr>
          <w:rFonts w:ascii="Arial" w:hAnsi="Arial" w:cs="Arial"/>
          <w:sz w:val="22"/>
          <w:szCs w:val="22"/>
        </w:rPr>
        <w:t>Considérant que ce rapport doit être approuvé par la majorité qualifiée des conseils municipaux, à savoir les deux tiers au moins des conseillers municipaux représentant plus de la moitié de la population totale du périmètre communautaire ou la moitié au moins des conseils municipaux représentant les deux tiers de la population totale (alinéa 7 du IV de l’article 1609 nonies C du CGI);</w:t>
      </w:r>
    </w:p>
    <w:p w14:paraId="1AB6C727" w14:textId="77777777" w:rsidR="0015099D" w:rsidRDefault="0015099D" w:rsidP="0015099D">
      <w:pPr>
        <w:pStyle w:val="Default"/>
        <w:jc w:val="both"/>
        <w:rPr>
          <w:rFonts w:ascii="Arial" w:hAnsi="Arial" w:cs="Arial"/>
          <w:sz w:val="22"/>
          <w:szCs w:val="22"/>
        </w:rPr>
      </w:pPr>
      <w:r>
        <w:rPr>
          <w:rFonts w:ascii="Arial" w:hAnsi="Arial" w:cs="Arial"/>
          <w:sz w:val="22"/>
          <w:szCs w:val="22"/>
        </w:rPr>
        <w:t>Ayant entendu l’exposé de son rapporteur,</w:t>
      </w:r>
    </w:p>
    <w:p w14:paraId="7102DD16" w14:textId="77777777" w:rsidR="0015099D" w:rsidRDefault="0015099D" w:rsidP="0015099D">
      <w:pPr>
        <w:pStyle w:val="Default"/>
        <w:jc w:val="both"/>
        <w:rPr>
          <w:rFonts w:ascii="Arial" w:hAnsi="Arial" w:cs="Arial"/>
          <w:sz w:val="22"/>
          <w:szCs w:val="22"/>
        </w:rPr>
      </w:pPr>
      <w:r>
        <w:rPr>
          <w:rFonts w:ascii="Arial" w:hAnsi="Arial" w:cs="Arial"/>
          <w:sz w:val="22"/>
          <w:szCs w:val="22"/>
        </w:rPr>
        <w:t xml:space="preserve">Après en avoir délibéré </w:t>
      </w:r>
    </w:p>
    <w:p w14:paraId="15E87E7E" w14:textId="77777777" w:rsidR="0015099D" w:rsidRDefault="0015099D" w:rsidP="0015099D">
      <w:pPr>
        <w:pStyle w:val="Default"/>
        <w:rPr>
          <w:rFonts w:ascii="Arial" w:hAnsi="Arial" w:cs="Arial"/>
          <w:sz w:val="22"/>
          <w:szCs w:val="22"/>
        </w:rPr>
      </w:pPr>
      <w:r>
        <w:rPr>
          <w:rFonts w:ascii="Arial" w:hAnsi="Arial" w:cs="Arial"/>
          <w:sz w:val="22"/>
          <w:szCs w:val="22"/>
        </w:rPr>
        <w:t xml:space="preserve"> </w:t>
      </w:r>
    </w:p>
    <w:p w14:paraId="13497806" w14:textId="77777777" w:rsidR="0015099D" w:rsidRDefault="0015099D" w:rsidP="0015099D">
      <w:pPr>
        <w:pStyle w:val="Default"/>
        <w:jc w:val="center"/>
        <w:rPr>
          <w:rFonts w:ascii="Arial" w:hAnsi="Arial" w:cs="Arial"/>
          <w:b/>
          <w:bCs/>
          <w:sz w:val="22"/>
          <w:szCs w:val="22"/>
        </w:rPr>
      </w:pPr>
      <w:r>
        <w:rPr>
          <w:rFonts w:ascii="Arial" w:hAnsi="Arial" w:cs="Arial"/>
          <w:b/>
          <w:bCs/>
          <w:sz w:val="22"/>
          <w:szCs w:val="22"/>
        </w:rPr>
        <w:t>DECIDE par 8 voix pour dont 2 pouvoirs, aucune voix contre, aucune abstention</w:t>
      </w:r>
    </w:p>
    <w:p w14:paraId="612A4823" w14:textId="77777777" w:rsidR="0015099D" w:rsidRDefault="0015099D" w:rsidP="0015099D">
      <w:pPr>
        <w:pStyle w:val="Default"/>
        <w:rPr>
          <w:rFonts w:ascii="Arial" w:hAnsi="Arial" w:cs="Arial"/>
          <w:sz w:val="22"/>
          <w:szCs w:val="22"/>
        </w:rPr>
      </w:pPr>
    </w:p>
    <w:p w14:paraId="762CCB53" w14:textId="77777777" w:rsidR="0015099D" w:rsidRDefault="0015099D" w:rsidP="0015099D">
      <w:pPr>
        <w:pStyle w:val="Default"/>
        <w:jc w:val="both"/>
        <w:rPr>
          <w:rFonts w:ascii="Arial" w:hAnsi="Arial" w:cs="Arial"/>
          <w:sz w:val="22"/>
          <w:szCs w:val="22"/>
        </w:rPr>
      </w:pPr>
      <w:r>
        <w:rPr>
          <w:rFonts w:ascii="Arial" w:hAnsi="Arial" w:cs="Arial"/>
          <w:b/>
          <w:bCs/>
          <w:sz w:val="22"/>
          <w:szCs w:val="22"/>
        </w:rPr>
        <w:t>D’approuver</w:t>
      </w:r>
      <w:r>
        <w:rPr>
          <w:rFonts w:ascii="Arial" w:hAnsi="Arial" w:cs="Arial"/>
          <w:sz w:val="22"/>
          <w:szCs w:val="22"/>
        </w:rPr>
        <w:t xml:space="preserve"> le rapport en date du 11/12/2024 de la Commission Locale d’Evaluation et de Transfert de Charges et ses conclusions sur l’évaluation financière</w:t>
      </w:r>
      <w:r>
        <w:rPr>
          <w:rFonts w:ascii="Arial" w:hAnsi="Arial" w:cs="Arial"/>
          <w:sz w:val="22"/>
          <w:szCs w:val="22"/>
          <w:shd w:val="clear" w:color="auto" w:fill="FFFFFF"/>
        </w:rPr>
        <w:t xml:space="preserve"> </w:t>
      </w:r>
      <w:r>
        <w:rPr>
          <w:rStyle w:val="normaltextrun"/>
          <w:rFonts w:ascii="Arial" w:hAnsi="Arial" w:cs="Arial"/>
          <w:sz w:val="22"/>
          <w:szCs w:val="22"/>
          <w:shd w:val="clear" w:color="auto" w:fill="FFFFFF"/>
        </w:rPr>
        <w:t xml:space="preserve">de l’attribution de </w:t>
      </w:r>
      <w:r>
        <w:rPr>
          <w:rStyle w:val="normaltextrun"/>
          <w:rFonts w:ascii="Arial" w:hAnsi="Arial" w:cs="Arial"/>
          <w:sz w:val="22"/>
          <w:szCs w:val="22"/>
          <w:shd w:val="clear" w:color="auto" w:fill="FFFFFF"/>
        </w:rPr>
        <w:lastRenderedPageBreak/>
        <w:t xml:space="preserve">compensation liée </w:t>
      </w:r>
      <w:r>
        <w:rPr>
          <w:rStyle w:val="normaltextrun"/>
          <w:rFonts w:ascii="Arial" w:hAnsi="Arial" w:cs="Arial"/>
          <w:color w:val="242424"/>
          <w:sz w:val="22"/>
          <w:szCs w:val="22"/>
          <w:shd w:val="clear" w:color="auto" w:fill="FFFFFF"/>
        </w:rPr>
        <w:t>à la restitution de la compétence promotion touristique à la commune de Sauve</w:t>
      </w:r>
      <w:r>
        <w:rPr>
          <w:rFonts w:ascii="Arial" w:hAnsi="Arial" w:cs="Arial"/>
          <w:sz w:val="22"/>
          <w:szCs w:val="22"/>
        </w:rPr>
        <w:t xml:space="preserve"> tel (voir annexe1).</w:t>
      </w:r>
    </w:p>
    <w:p w14:paraId="2F812CCF" w14:textId="77777777" w:rsidR="0015099D" w:rsidRDefault="0015099D" w:rsidP="0015099D">
      <w:pPr>
        <w:pStyle w:val="Default"/>
        <w:rPr>
          <w:rFonts w:ascii="Arial" w:hAnsi="Arial" w:cs="Arial"/>
          <w:sz w:val="22"/>
          <w:szCs w:val="22"/>
        </w:rPr>
      </w:pPr>
    </w:p>
    <w:p w14:paraId="09A0CC35" w14:textId="77777777" w:rsidR="0015099D" w:rsidRDefault="0015099D" w:rsidP="0015099D">
      <w:pPr>
        <w:pStyle w:val="Default"/>
        <w:rPr>
          <w:rFonts w:ascii="Arial" w:hAnsi="Arial" w:cs="Arial"/>
          <w:b/>
          <w:bCs/>
          <w:u w:val="single"/>
        </w:rPr>
      </w:pPr>
      <w:r>
        <w:rPr>
          <w:rFonts w:ascii="Arial" w:hAnsi="Arial" w:cs="Arial"/>
          <w:b/>
          <w:bCs/>
          <w:u w:val="single"/>
        </w:rPr>
        <w:t>003 – VOTE DEFINITIF DE LA COMPENSATION DES COMMUNES MEMBRES DE LA COMMUNAUTE DE COMMUNES DU PIEMONT CEVENOL</w:t>
      </w:r>
    </w:p>
    <w:p w14:paraId="78C6B9E8" w14:textId="77777777" w:rsidR="0015099D" w:rsidRDefault="0015099D" w:rsidP="0015099D">
      <w:pPr>
        <w:jc w:val="both"/>
        <w:rPr>
          <w:rFonts w:ascii="Arial" w:hAnsi="Arial" w:cs="Arial"/>
          <w:b/>
          <w:bCs/>
          <w:u w:val="single"/>
        </w:rPr>
      </w:pPr>
    </w:p>
    <w:p w14:paraId="7AD7035F" w14:textId="77777777" w:rsidR="0015099D" w:rsidRDefault="0015099D" w:rsidP="0015099D">
      <w:pPr>
        <w:pStyle w:val="Default"/>
        <w:rPr>
          <w:rFonts w:ascii="Arial" w:hAnsi="Arial" w:cs="Arial"/>
          <w:sz w:val="22"/>
          <w:szCs w:val="22"/>
        </w:rPr>
      </w:pPr>
      <w:r>
        <w:rPr>
          <w:rFonts w:ascii="Arial" w:hAnsi="Arial" w:cs="Arial"/>
          <w:sz w:val="22"/>
          <w:szCs w:val="22"/>
        </w:rPr>
        <w:t>Le Conseil Municipal,</w:t>
      </w:r>
    </w:p>
    <w:p w14:paraId="25A94AB9" w14:textId="77777777" w:rsidR="0015099D" w:rsidRDefault="0015099D" w:rsidP="0015099D">
      <w:pPr>
        <w:pStyle w:val="Default"/>
        <w:rPr>
          <w:rFonts w:ascii="Arial" w:hAnsi="Arial" w:cs="Arial"/>
          <w:sz w:val="22"/>
          <w:szCs w:val="22"/>
        </w:rPr>
      </w:pPr>
      <w:r>
        <w:rPr>
          <w:rFonts w:ascii="Arial" w:hAnsi="Arial" w:cs="Arial"/>
          <w:sz w:val="22"/>
          <w:szCs w:val="22"/>
        </w:rPr>
        <w:t xml:space="preserve">Vu les dispositions de la loi du 12 juillet 1999, relative au remplacement et à la simplification de la coopération intercommunale </w:t>
      </w:r>
    </w:p>
    <w:p w14:paraId="6AA474BE" w14:textId="77777777" w:rsidR="0015099D" w:rsidRDefault="0015099D" w:rsidP="0015099D">
      <w:pPr>
        <w:pStyle w:val="Default"/>
        <w:rPr>
          <w:rFonts w:ascii="Arial" w:hAnsi="Arial" w:cs="Arial"/>
          <w:sz w:val="22"/>
          <w:szCs w:val="22"/>
        </w:rPr>
      </w:pPr>
      <w:r>
        <w:rPr>
          <w:rFonts w:ascii="Arial" w:hAnsi="Arial" w:cs="Arial"/>
          <w:sz w:val="22"/>
          <w:szCs w:val="22"/>
        </w:rPr>
        <w:t xml:space="preserve">Vu les dispositions du Code des Collectivités Territoriales </w:t>
      </w:r>
    </w:p>
    <w:p w14:paraId="421F9F8C" w14:textId="77777777" w:rsidR="0015099D" w:rsidRDefault="0015099D" w:rsidP="0015099D">
      <w:pPr>
        <w:pStyle w:val="Default"/>
        <w:rPr>
          <w:rFonts w:ascii="Arial" w:hAnsi="Arial" w:cs="Arial"/>
          <w:sz w:val="22"/>
          <w:szCs w:val="22"/>
        </w:rPr>
      </w:pPr>
      <w:r>
        <w:rPr>
          <w:rFonts w:ascii="Arial" w:hAnsi="Arial" w:cs="Arial"/>
          <w:sz w:val="22"/>
          <w:szCs w:val="22"/>
        </w:rPr>
        <w:t xml:space="preserve">Vu l’article 1609 nonies C du Code Général des Impôts </w:t>
      </w:r>
    </w:p>
    <w:p w14:paraId="5238A7BB" w14:textId="77777777" w:rsidR="0015099D" w:rsidRDefault="0015099D" w:rsidP="0015099D">
      <w:pPr>
        <w:pStyle w:val="Default"/>
        <w:rPr>
          <w:rFonts w:ascii="Arial" w:hAnsi="Arial" w:cs="Arial"/>
          <w:sz w:val="22"/>
          <w:szCs w:val="22"/>
        </w:rPr>
      </w:pPr>
      <w:r>
        <w:rPr>
          <w:rFonts w:ascii="Arial" w:hAnsi="Arial" w:cs="Arial"/>
          <w:sz w:val="22"/>
          <w:szCs w:val="22"/>
        </w:rPr>
        <w:t xml:space="preserve">Vu les compétences obligatoires, optionnelles et facultatives de la communauté de communes du Piémont Cévenol </w:t>
      </w:r>
    </w:p>
    <w:p w14:paraId="6287A406" w14:textId="77777777" w:rsidR="0015099D" w:rsidRDefault="0015099D" w:rsidP="0015099D">
      <w:pPr>
        <w:pStyle w:val="Default"/>
        <w:rPr>
          <w:rFonts w:ascii="Arial" w:hAnsi="Arial" w:cs="Arial"/>
          <w:sz w:val="22"/>
          <w:szCs w:val="22"/>
        </w:rPr>
      </w:pPr>
      <w:r>
        <w:rPr>
          <w:rFonts w:ascii="Arial" w:hAnsi="Arial" w:cs="Arial"/>
          <w:sz w:val="22"/>
          <w:szCs w:val="22"/>
        </w:rPr>
        <w:t xml:space="preserve">Vu les dernières délibérations des communes membres relatives à l’attribution de compensation </w:t>
      </w:r>
    </w:p>
    <w:p w14:paraId="08AC5406" w14:textId="77777777" w:rsidR="0015099D" w:rsidRDefault="0015099D" w:rsidP="0015099D">
      <w:pPr>
        <w:pStyle w:val="Default"/>
        <w:rPr>
          <w:rStyle w:val="normaltextrun"/>
          <w:bdr w:val="none" w:sz="0" w:space="0" w:color="auto" w:frame="1"/>
        </w:rPr>
      </w:pPr>
      <w:r>
        <w:rPr>
          <w:rFonts w:ascii="Arial" w:hAnsi="Arial" w:cs="Arial"/>
          <w:sz w:val="22"/>
          <w:szCs w:val="22"/>
        </w:rPr>
        <w:t>Vu la délibération du</w:t>
      </w:r>
      <w:r>
        <w:rPr>
          <w:rStyle w:val="normaltextrun"/>
          <w:rFonts w:ascii="Arial" w:hAnsi="Arial" w:cs="Arial"/>
          <w:sz w:val="22"/>
          <w:szCs w:val="22"/>
          <w:bdr w:val="none" w:sz="0" w:space="0" w:color="auto" w:frame="1"/>
        </w:rPr>
        <w:t xml:space="preserve"> conseil communautaire en date du 26 juin 2024 décidant de transférer la compétence promotion du tourisme à la commune de Sauve sur son territoire </w:t>
      </w:r>
    </w:p>
    <w:p w14:paraId="5620157D" w14:textId="77777777" w:rsidR="0015099D" w:rsidRDefault="0015099D" w:rsidP="0015099D">
      <w:pPr>
        <w:pStyle w:val="Default"/>
        <w:rPr>
          <w:rStyle w:val="normaltextrun"/>
          <w:rFonts w:ascii="Arial" w:hAnsi="Arial" w:cs="Arial"/>
          <w:sz w:val="22"/>
          <w:szCs w:val="22"/>
          <w:bdr w:val="none" w:sz="0" w:space="0" w:color="auto" w:frame="1"/>
        </w:rPr>
      </w:pPr>
      <w:r>
        <w:rPr>
          <w:rStyle w:val="normaltextrun"/>
          <w:rFonts w:ascii="Arial" w:hAnsi="Arial" w:cs="Arial"/>
          <w:sz w:val="22"/>
          <w:szCs w:val="22"/>
          <w:bdr w:val="none" w:sz="0" w:space="0" w:color="auto" w:frame="1"/>
        </w:rPr>
        <w:t>Vu la délibération du conseil communautaire en date du 25 septembre 2024 décidant de modifier les statuts qui ont été approuvés par les communes dans les règles de majorité qualifiée.</w:t>
      </w:r>
    </w:p>
    <w:p w14:paraId="27E535CD" w14:textId="77777777" w:rsidR="0015099D" w:rsidRDefault="0015099D" w:rsidP="0015099D">
      <w:pPr>
        <w:pStyle w:val="Default"/>
        <w:rPr>
          <w:rStyle w:val="normaltextrun"/>
          <w:rFonts w:ascii="Arial" w:hAnsi="Arial" w:cs="Arial"/>
          <w:sz w:val="22"/>
          <w:szCs w:val="22"/>
          <w:bdr w:val="none" w:sz="0" w:space="0" w:color="auto" w:frame="1"/>
        </w:rPr>
      </w:pPr>
      <w:bookmarkStart w:id="1" w:name="_Hlk186812980"/>
      <w:r>
        <w:rPr>
          <w:rStyle w:val="normaltextrun"/>
          <w:rFonts w:ascii="Arial" w:hAnsi="Arial" w:cs="Arial"/>
          <w:sz w:val="22"/>
          <w:szCs w:val="22"/>
          <w:bdr w:val="none" w:sz="0" w:space="0" w:color="auto" w:frame="1"/>
        </w:rPr>
        <w:t>Vu l’arrêté préfectoral en date du 27 décembre 2024 portant modification des statuts de la communauté de communes du Piémont cévenol</w:t>
      </w:r>
    </w:p>
    <w:bookmarkEnd w:id="1"/>
    <w:p w14:paraId="1F4DC7B3" w14:textId="77777777" w:rsidR="0015099D" w:rsidRDefault="0015099D" w:rsidP="0015099D">
      <w:pPr>
        <w:pStyle w:val="Default"/>
        <w:rPr>
          <w:rStyle w:val="normaltextrun"/>
          <w:rFonts w:ascii="Arial" w:hAnsi="Arial" w:cs="Arial"/>
          <w:sz w:val="22"/>
          <w:szCs w:val="22"/>
          <w:bdr w:val="none" w:sz="0" w:space="0" w:color="auto" w:frame="1"/>
        </w:rPr>
      </w:pPr>
      <w:r>
        <w:rPr>
          <w:rStyle w:val="normaltextrun"/>
          <w:rFonts w:ascii="Arial" w:hAnsi="Arial" w:cs="Arial"/>
          <w:sz w:val="22"/>
          <w:szCs w:val="22"/>
          <w:bdr w:val="none" w:sz="0" w:space="0" w:color="auto" w:frame="1"/>
        </w:rPr>
        <w:t xml:space="preserve">Vu la délibération du conseil communautaire en date du 18/12/2024 décidant d’approuver le montant de l’attribution de compensation provisoire des communes du Piémont Cévenol  </w:t>
      </w:r>
    </w:p>
    <w:p w14:paraId="05F2E9C9" w14:textId="77777777" w:rsidR="0015099D" w:rsidRDefault="0015099D" w:rsidP="0015099D">
      <w:pPr>
        <w:pStyle w:val="Default"/>
      </w:pPr>
      <w:r>
        <w:rPr>
          <w:rStyle w:val="normaltextrun"/>
          <w:rFonts w:ascii="Arial" w:hAnsi="Arial" w:cs="Arial"/>
          <w:sz w:val="22"/>
          <w:szCs w:val="22"/>
          <w:bdr w:val="none" w:sz="0" w:space="0" w:color="auto" w:frame="1"/>
        </w:rPr>
        <w:t xml:space="preserve">Vu la délibération du conseil municipal en date du……………approuvant le rapport de la CLECT du 11 12 2024 relatif à </w:t>
      </w:r>
      <w:r>
        <w:rPr>
          <w:rStyle w:val="normaltextrun"/>
          <w:rFonts w:ascii="Arial" w:hAnsi="Arial" w:cs="Arial"/>
          <w:sz w:val="22"/>
          <w:szCs w:val="22"/>
          <w:shd w:val="clear" w:color="auto" w:fill="FFFFFF"/>
        </w:rPr>
        <w:t xml:space="preserve">l’attribution de compensation liée </w:t>
      </w:r>
      <w:r>
        <w:rPr>
          <w:rStyle w:val="normaltextrun"/>
          <w:rFonts w:ascii="Arial" w:hAnsi="Arial" w:cs="Arial"/>
          <w:color w:val="242424"/>
          <w:sz w:val="22"/>
          <w:szCs w:val="22"/>
          <w:shd w:val="clear" w:color="auto" w:fill="FFFFFF"/>
        </w:rPr>
        <w:t>à la restitution de la compétence promotion touristique à la commune de Sauve</w:t>
      </w:r>
      <w:r>
        <w:rPr>
          <w:rFonts w:ascii="Arial" w:hAnsi="Arial" w:cs="Arial"/>
          <w:sz w:val="22"/>
          <w:szCs w:val="22"/>
        </w:rPr>
        <w:t xml:space="preserve">  </w:t>
      </w:r>
    </w:p>
    <w:p w14:paraId="52FF69A2" w14:textId="77777777" w:rsidR="0015099D" w:rsidRDefault="0015099D" w:rsidP="0015099D">
      <w:pPr>
        <w:pStyle w:val="Default"/>
        <w:rPr>
          <w:rFonts w:ascii="Arial" w:hAnsi="Arial" w:cs="Arial"/>
          <w:sz w:val="22"/>
          <w:szCs w:val="22"/>
        </w:rPr>
      </w:pPr>
      <w:r>
        <w:rPr>
          <w:rFonts w:ascii="Arial" w:hAnsi="Arial" w:cs="Arial"/>
          <w:sz w:val="22"/>
          <w:szCs w:val="22"/>
        </w:rPr>
        <w:t xml:space="preserve">Considérant l’évaluation prospective de la CLETC en date du 27 mai 2024 </w:t>
      </w:r>
    </w:p>
    <w:p w14:paraId="2B844CBC" w14:textId="77777777" w:rsidR="0015099D" w:rsidRDefault="0015099D" w:rsidP="0015099D">
      <w:pPr>
        <w:pStyle w:val="Default"/>
        <w:rPr>
          <w:rFonts w:ascii="Arial" w:hAnsi="Arial" w:cs="Arial"/>
          <w:sz w:val="22"/>
          <w:szCs w:val="22"/>
        </w:rPr>
      </w:pPr>
      <w:r>
        <w:rPr>
          <w:rFonts w:ascii="Arial" w:hAnsi="Arial" w:cs="Arial"/>
          <w:sz w:val="22"/>
          <w:szCs w:val="22"/>
        </w:rPr>
        <w:t>Considérant le rapport de la CLETC en date du 11 12 2024 et ses conclusions sur l’évaluation financière</w:t>
      </w:r>
      <w:r>
        <w:rPr>
          <w:rFonts w:ascii="Arial" w:hAnsi="Arial" w:cs="Arial"/>
          <w:sz w:val="22"/>
          <w:szCs w:val="22"/>
          <w:shd w:val="clear" w:color="auto" w:fill="FFFFFF"/>
        </w:rPr>
        <w:t xml:space="preserve"> </w:t>
      </w:r>
      <w:r>
        <w:rPr>
          <w:rStyle w:val="normaltextrun"/>
          <w:rFonts w:ascii="Arial" w:hAnsi="Arial" w:cs="Arial"/>
          <w:sz w:val="22"/>
          <w:szCs w:val="22"/>
          <w:shd w:val="clear" w:color="auto" w:fill="FFFFFF"/>
        </w:rPr>
        <w:t xml:space="preserve">de l’attribution de compensation liée </w:t>
      </w:r>
      <w:r>
        <w:rPr>
          <w:rStyle w:val="normaltextrun"/>
          <w:rFonts w:ascii="Arial" w:hAnsi="Arial" w:cs="Arial"/>
          <w:color w:val="242424"/>
          <w:sz w:val="22"/>
          <w:szCs w:val="22"/>
          <w:shd w:val="clear" w:color="auto" w:fill="FFFFFF"/>
        </w:rPr>
        <w:t>à la restitution de la compétence promotion touristique à la commune de Sauve</w:t>
      </w:r>
      <w:r>
        <w:rPr>
          <w:rFonts w:ascii="Arial" w:hAnsi="Arial" w:cs="Arial"/>
          <w:sz w:val="22"/>
          <w:szCs w:val="22"/>
        </w:rPr>
        <w:t xml:space="preserve">  </w:t>
      </w:r>
    </w:p>
    <w:p w14:paraId="0D809CD2" w14:textId="77777777" w:rsidR="0015099D" w:rsidRDefault="0015099D" w:rsidP="0015099D">
      <w:pPr>
        <w:pStyle w:val="Default"/>
        <w:rPr>
          <w:rFonts w:ascii="Arial" w:hAnsi="Arial" w:cs="Arial"/>
          <w:sz w:val="22"/>
          <w:szCs w:val="22"/>
        </w:rPr>
      </w:pPr>
      <w:r>
        <w:rPr>
          <w:rFonts w:ascii="Arial" w:hAnsi="Arial" w:cs="Arial"/>
          <w:sz w:val="22"/>
          <w:szCs w:val="22"/>
        </w:rPr>
        <w:t>Considérant que le montant des attributions de compensation doit être approuvé par la majorité qualifiée des conseils municipaux, à savoir les deux tiers au moins des conseillers municipaux représentant plus de la moitié de la population totale du périmètre communautaire ou la moitié au moins des conseils municipaux représentant les deux tiers de la population totale (alinéa 7 du IV de l’article 1609 nonies C du CGI);</w:t>
      </w:r>
    </w:p>
    <w:p w14:paraId="1A0CD392" w14:textId="77777777" w:rsidR="0015099D" w:rsidRDefault="0015099D" w:rsidP="0015099D">
      <w:pPr>
        <w:pStyle w:val="Default"/>
        <w:rPr>
          <w:rFonts w:ascii="Arial" w:hAnsi="Arial" w:cs="Arial"/>
          <w:sz w:val="22"/>
          <w:szCs w:val="22"/>
        </w:rPr>
      </w:pPr>
      <w:r>
        <w:rPr>
          <w:rFonts w:ascii="Arial" w:hAnsi="Arial" w:cs="Arial"/>
          <w:sz w:val="22"/>
          <w:szCs w:val="22"/>
        </w:rPr>
        <w:t>Ayant entendu l’exposé de son rapporteur,</w:t>
      </w:r>
    </w:p>
    <w:p w14:paraId="791D531D" w14:textId="77777777" w:rsidR="0015099D" w:rsidRDefault="0015099D" w:rsidP="0015099D">
      <w:pPr>
        <w:pStyle w:val="Default"/>
        <w:rPr>
          <w:rFonts w:ascii="Arial" w:hAnsi="Arial" w:cs="Arial"/>
          <w:sz w:val="22"/>
          <w:szCs w:val="22"/>
        </w:rPr>
      </w:pPr>
      <w:r>
        <w:rPr>
          <w:rFonts w:ascii="Arial" w:hAnsi="Arial" w:cs="Arial"/>
          <w:sz w:val="22"/>
          <w:szCs w:val="22"/>
        </w:rPr>
        <w:t xml:space="preserve">Après en avoir délibéré </w:t>
      </w:r>
    </w:p>
    <w:p w14:paraId="750A7FE2" w14:textId="77777777" w:rsidR="0015099D" w:rsidRDefault="0015099D" w:rsidP="0015099D">
      <w:pPr>
        <w:jc w:val="center"/>
        <w:rPr>
          <w:rFonts w:ascii="Gotham Light" w:hAnsi="Gotham Light" w:cs="Times New Roman"/>
          <w:b/>
          <w:sz w:val="28"/>
          <w:szCs w:val="28"/>
        </w:rPr>
      </w:pPr>
      <w:r>
        <w:rPr>
          <w:rFonts w:ascii="Gotham Light" w:hAnsi="Gotham Light" w:cs="Times New Roman"/>
          <w:b/>
          <w:sz w:val="28"/>
          <w:szCs w:val="28"/>
        </w:rPr>
        <w:t xml:space="preserve">DECIDE par 8 voix pour dont 2 pouvoirs, aucune voix contre, aucune abstentions </w:t>
      </w:r>
    </w:p>
    <w:p w14:paraId="2ED90726" w14:textId="77777777" w:rsidR="0015099D" w:rsidRDefault="0015099D" w:rsidP="0015099D">
      <w:pPr>
        <w:jc w:val="center"/>
        <w:rPr>
          <w:rFonts w:ascii="Gotham Light" w:hAnsi="Gotham Light" w:cs="Times New Roman"/>
          <w:b/>
          <w:sz w:val="28"/>
          <w:szCs w:val="28"/>
        </w:rPr>
      </w:pPr>
    </w:p>
    <w:p w14:paraId="56F414FF" w14:textId="77777777" w:rsidR="0015099D" w:rsidRDefault="0015099D" w:rsidP="0015099D">
      <w:pPr>
        <w:rPr>
          <w:rFonts w:ascii="Arial" w:hAnsi="Arial" w:cs="Arial"/>
        </w:rPr>
      </w:pPr>
      <w:r>
        <w:rPr>
          <w:rFonts w:ascii="Arial" w:hAnsi="Arial" w:cs="Arial"/>
        </w:rPr>
        <w:t>D’arrêter l’attribution de compensation définitive des communes membres de la communauté de communes du Piémont Cévenol comme suit :</w:t>
      </w:r>
    </w:p>
    <w:p w14:paraId="6CD64C75" w14:textId="77777777" w:rsidR="0015099D" w:rsidRDefault="0015099D" w:rsidP="0015099D">
      <w:pPr>
        <w:rPr>
          <w:rFonts w:ascii="Arial" w:hAnsi="Arial" w:cs="Arial"/>
        </w:rPr>
      </w:pPr>
    </w:p>
    <w:p w14:paraId="74400BD4" w14:textId="77777777" w:rsidR="0015099D" w:rsidRDefault="0015099D" w:rsidP="0015099D">
      <w:pPr>
        <w:rPr>
          <w:rFonts w:ascii="Arial" w:hAnsi="Arial" w:cs="Arial"/>
        </w:rPr>
      </w:pPr>
    </w:p>
    <w:p w14:paraId="5812B070" w14:textId="77777777" w:rsidR="0015099D" w:rsidRDefault="0015099D" w:rsidP="0015099D">
      <w:pPr>
        <w:rPr>
          <w:rFonts w:ascii="Gotham Light" w:hAnsi="Gotham Light"/>
        </w:rPr>
      </w:pPr>
    </w:p>
    <w:p w14:paraId="60078C3B" w14:textId="77777777" w:rsidR="0015099D" w:rsidRDefault="0015099D" w:rsidP="0015099D">
      <w:pPr>
        <w:rPr>
          <w:rFonts w:ascii="Gotham Light" w:hAnsi="Gotham Light"/>
        </w:rPr>
      </w:pPr>
    </w:p>
    <w:tbl>
      <w:tblPr>
        <w:tblpPr w:leftFromText="141" w:rightFromText="141" w:bottomFromText="160" w:horzAnchor="margin" w:tblpY="855"/>
        <w:tblW w:w="10340" w:type="dxa"/>
        <w:tblCellMar>
          <w:left w:w="70" w:type="dxa"/>
          <w:right w:w="70" w:type="dxa"/>
        </w:tblCellMar>
        <w:tblLook w:val="04A0" w:firstRow="1" w:lastRow="0" w:firstColumn="1" w:lastColumn="0" w:noHBand="0" w:noVBand="1"/>
      </w:tblPr>
      <w:tblGrid>
        <w:gridCol w:w="3819"/>
        <w:gridCol w:w="3181"/>
        <w:gridCol w:w="3340"/>
      </w:tblGrid>
      <w:tr w:rsidR="0015099D" w14:paraId="221094EB" w14:textId="77777777" w:rsidTr="0015099D">
        <w:trPr>
          <w:trHeight w:val="312"/>
        </w:trPr>
        <w:tc>
          <w:tcPr>
            <w:tcW w:w="3819" w:type="dxa"/>
            <w:vAlign w:val="bottom"/>
          </w:tcPr>
          <w:p w14:paraId="1C9BA195" w14:textId="77777777" w:rsidR="0015099D" w:rsidRDefault="0015099D">
            <w:pPr>
              <w:suppressAutoHyphens/>
              <w:spacing w:line="256" w:lineRule="auto"/>
              <w:jc w:val="center"/>
              <w:rPr>
                <w:rFonts w:ascii="Gotham Light" w:eastAsia="Aptos" w:hAnsi="Gotham Light"/>
                <w:b/>
                <w:bCs/>
                <w:color w:val="000000"/>
                <w:kern w:val="2"/>
                <w:sz w:val="32"/>
                <w:szCs w:val="32"/>
                <w:lang w:eastAsia="en-US"/>
                <w14:ligatures w14:val="standardContextual"/>
              </w:rPr>
            </w:pPr>
          </w:p>
        </w:tc>
        <w:tc>
          <w:tcPr>
            <w:tcW w:w="3181" w:type="dxa"/>
            <w:vAlign w:val="bottom"/>
          </w:tcPr>
          <w:p w14:paraId="1992850F" w14:textId="77777777" w:rsidR="0015099D" w:rsidRDefault="0015099D">
            <w:pPr>
              <w:suppressAutoHyphens/>
              <w:spacing w:line="256" w:lineRule="auto"/>
              <w:rPr>
                <w:rFonts w:ascii="Times New Roman" w:eastAsia="Aptos" w:hAnsi="Times New Roman"/>
                <w:kern w:val="2"/>
                <w:lang w:eastAsia="en-US"/>
                <w14:ligatures w14:val="standardContextual"/>
              </w:rPr>
            </w:pPr>
          </w:p>
        </w:tc>
        <w:tc>
          <w:tcPr>
            <w:tcW w:w="3340" w:type="dxa"/>
            <w:tcBorders>
              <w:top w:val="single" w:sz="12" w:space="0" w:color="0070C0"/>
              <w:left w:val="single" w:sz="12" w:space="0" w:color="0070C0"/>
              <w:bottom w:val="single" w:sz="8" w:space="0" w:color="000000"/>
              <w:right w:val="single" w:sz="12" w:space="0" w:color="0070C0"/>
            </w:tcBorders>
            <w:shd w:val="clear" w:color="auto" w:fill="00B0F0"/>
            <w:vAlign w:val="center"/>
            <w:hideMark/>
          </w:tcPr>
          <w:p w14:paraId="25073F35" w14:textId="77777777" w:rsidR="0015099D" w:rsidRDefault="0015099D">
            <w:pPr>
              <w:suppressAutoHyphens/>
              <w:spacing w:line="256" w:lineRule="auto"/>
              <w:jc w:val="center"/>
              <w:rPr>
                <w:rFonts w:ascii="Gotham Light" w:eastAsia="Aptos" w:hAnsi="Gotham Light"/>
                <w:b/>
                <w:bCs/>
                <w:color w:val="000000"/>
                <w:kern w:val="2"/>
                <w:lang w:eastAsia="en-US"/>
                <w14:ligatures w14:val="standardContextual"/>
              </w:rPr>
            </w:pPr>
            <w:r>
              <w:rPr>
                <w:rFonts w:ascii="Gotham Light" w:eastAsia="Aptos" w:hAnsi="Gotham Light"/>
                <w:b/>
                <w:bCs/>
                <w:color w:val="000000"/>
                <w:kern w:val="2"/>
                <w:lang w:eastAsia="en-US"/>
                <w14:ligatures w14:val="standardContextual"/>
              </w:rPr>
              <w:t xml:space="preserve">CLECT DU 11/12/2024 </w:t>
            </w:r>
          </w:p>
        </w:tc>
      </w:tr>
      <w:tr w:rsidR="0015099D" w14:paraId="01E64C2F" w14:textId="77777777" w:rsidTr="0015099D">
        <w:trPr>
          <w:trHeight w:val="1440"/>
        </w:trPr>
        <w:tc>
          <w:tcPr>
            <w:tcW w:w="3819" w:type="dxa"/>
            <w:tcBorders>
              <w:top w:val="single" w:sz="8" w:space="0" w:color="000000"/>
              <w:left w:val="single" w:sz="8" w:space="0" w:color="000000"/>
              <w:bottom w:val="single" w:sz="8" w:space="0" w:color="000000"/>
              <w:right w:val="single" w:sz="8" w:space="0" w:color="000000"/>
            </w:tcBorders>
            <w:vAlign w:val="center"/>
            <w:hideMark/>
          </w:tcPr>
          <w:p w14:paraId="712DCBD7" w14:textId="77777777" w:rsidR="0015099D" w:rsidRDefault="0015099D">
            <w:pPr>
              <w:suppressAutoHyphens/>
              <w:spacing w:line="256" w:lineRule="auto"/>
              <w:jc w:val="center"/>
              <w:rPr>
                <w:rFonts w:ascii="Gotham Light" w:eastAsia="Aptos" w:hAnsi="Gotham Light"/>
                <w:b/>
                <w:bCs/>
                <w:kern w:val="2"/>
                <w:sz w:val="26"/>
                <w:szCs w:val="26"/>
                <w:lang w:eastAsia="en-US"/>
                <w14:ligatures w14:val="standardContextual"/>
              </w:rPr>
            </w:pPr>
            <w:r>
              <w:rPr>
                <w:rFonts w:ascii="Gotham Light" w:eastAsia="Aptos" w:hAnsi="Gotham Light"/>
                <w:b/>
                <w:bCs/>
                <w:kern w:val="2"/>
                <w:sz w:val="26"/>
                <w:szCs w:val="26"/>
                <w:lang w:eastAsia="en-US"/>
                <w14:ligatures w14:val="standardContextual"/>
              </w:rPr>
              <w:t>COMMUNES</w:t>
            </w:r>
          </w:p>
        </w:tc>
        <w:tc>
          <w:tcPr>
            <w:tcW w:w="3181" w:type="dxa"/>
            <w:tcBorders>
              <w:top w:val="single" w:sz="8" w:space="0" w:color="000000"/>
              <w:left w:val="nil"/>
              <w:bottom w:val="single" w:sz="8" w:space="0" w:color="000000"/>
              <w:right w:val="nil"/>
            </w:tcBorders>
            <w:vAlign w:val="center"/>
            <w:hideMark/>
          </w:tcPr>
          <w:p w14:paraId="04F1FA75" w14:textId="77777777" w:rsidR="0015099D" w:rsidRDefault="0015099D">
            <w:pPr>
              <w:suppressAutoHyphens/>
              <w:spacing w:line="256" w:lineRule="auto"/>
              <w:jc w:val="center"/>
              <w:rPr>
                <w:rFonts w:ascii="Gotham Light" w:eastAsia="Aptos" w:hAnsi="Gotham Light"/>
                <w:b/>
                <w:bCs/>
                <w:kern w:val="2"/>
                <w:sz w:val="26"/>
                <w:szCs w:val="26"/>
                <w:lang w:eastAsia="en-US"/>
                <w14:ligatures w14:val="standardContextual"/>
              </w:rPr>
            </w:pPr>
            <w:r>
              <w:rPr>
                <w:rFonts w:ascii="Gotham Light" w:eastAsia="Aptos" w:hAnsi="Gotham Light"/>
                <w:b/>
                <w:bCs/>
                <w:kern w:val="2"/>
                <w:sz w:val="26"/>
                <w:szCs w:val="26"/>
                <w:lang w:eastAsia="en-US"/>
                <w14:ligatures w14:val="standardContextual"/>
              </w:rPr>
              <w:t>ATTRIBUTION COMPENSATION</w:t>
            </w:r>
            <w:r>
              <w:rPr>
                <w:rFonts w:ascii="Gotham Light" w:eastAsia="Aptos" w:hAnsi="Gotham Light"/>
                <w:b/>
                <w:bCs/>
                <w:kern w:val="2"/>
                <w:sz w:val="26"/>
                <w:szCs w:val="26"/>
                <w:lang w:eastAsia="en-US"/>
                <w14:ligatures w14:val="standardContextual"/>
              </w:rPr>
              <w:br/>
              <w:t>MONTANT ANNUEL 2021</w:t>
            </w:r>
          </w:p>
        </w:tc>
        <w:tc>
          <w:tcPr>
            <w:tcW w:w="3340" w:type="dxa"/>
            <w:tcBorders>
              <w:top w:val="nil"/>
              <w:left w:val="single" w:sz="12" w:space="0" w:color="0070C0"/>
              <w:bottom w:val="single" w:sz="8" w:space="0" w:color="000000"/>
              <w:right w:val="single" w:sz="12" w:space="0" w:color="0070C0"/>
            </w:tcBorders>
            <w:vAlign w:val="center"/>
            <w:hideMark/>
          </w:tcPr>
          <w:p w14:paraId="52221E03" w14:textId="77777777" w:rsidR="0015099D" w:rsidRDefault="0015099D">
            <w:pPr>
              <w:suppressAutoHyphens/>
              <w:spacing w:line="256" w:lineRule="auto"/>
              <w:jc w:val="center"/>
              <w:rPr>
                <w:rFonts w:ascii="Gotham Light" w:eastAsia="Aptos" w:hAnsi="Gotham Light"/>
                <w:b/>
                <w:bCs/>
                <w:kern w:val="2"/>
                <w:sz w:val="26"/>
                <w:szCs w:val="26"/>
                <w:lang w:eastAsia="en-US"/>
                <w14:ligatures w14:val="standardContextual"/>
              </w:rPr>
            </w:pPr>
            <w:r>
              <w:rPr>
                <w:rFonts w:ascii="Gotham Light" w:eastAsia="Aptos" w:hAnsi="Gotham Light"/>
                <w:b/>
                <w:bCs/>
                <w:kern w:val="2"/>
                <w:sz w:val="26"/>
                <w:szCs w:val="26"/>
                <w:lang w:eastAsia="en-US"/>
                <w14:ligatures w14:val="standardContextual"/>
              </w:rPr>
              <w:t xml:space="preserve"> PROPOSITION NOUVELLE ATTRIBUTION DE COMPENSATION</w:t>
            </w:r>
          </w:p>
        </w:tc>
      </w:tr>
      <w:tr w:rsidR="0015099D" w14:paraId="2DB28086"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7B055A8C"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Aigremont</w:t>
            </w:r>
          </w:p>
        </w:tc>
        <w:tc>
          <w:tcPr>
            <w:tcW w:w="3181" w:type="dxa"/>
            <w:tcBorders>
              <w:top w:val="nil"/>
              <w:left w:val="single" w:sz="8" w:space="0" w:color="000000"/>
              <w:bottom w:val="single" w:sz="4" w:space="0" w:color="000000"/>
              <w:right w:val="nil"/>
            </w:tcBorders>
            <w:vAlign w:val="center"/>
            <w:hideMark/>
          </w:tcPr>
          <w:p w14:paraId="176FA4E6"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4 895,50</w:t>
            </w:r>
          </w:p>
        </w:tc>
        <w:tc>
          <w:tcPr>
            <w:tcW w:w="3340" w:type="dxa"/>
            <w:tcBorders>
              <w:top w:val="nil"/>
              <w:left w:val="single" w:sz="12" w:space="0" w:color="0070C0"/>
              <w:bottom w:val="single" w:sz="4" w:space="0" w:color="000000"/>
              <w:right w:val="single" w:sz="12" w:space="0" w:color="0070C0"/>
            </w:tcBorders>
            <w:vAlign w:val="center"/>
            <w:hideMark/>
          </w:tcPr>
          <w:p w14:paraId="3115D5A9"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4 895,50</w:t>
            </w:r>
          </w:p>
        </w:tc>
      </w:tr>
      <w:tr w:rsidR="0015099D" w14:paraId="0EDA9D29" w14:textId="77777777" w:rsidTr="0015099D">
        <w:trPr>
          <w:trHeight w:val="336"/>
        </w:trPr>
        <w:tc>
          <w:tcPr>
            <w:tcW w:w="3819" w:type="dxa"/>
            <w:tcBorders>
              <w:top w:val="nil"/>
              <w:left w:val="single" w:sz="8" w:space="0" w:color="000000"/>
              <w:bottom w:val="single" w:sz="4" w:space="0" w:color="000000"/>
              <w:right w:val="nil"/>
            </w:tcBorders>
            <w:shd w:val="clear" w:color="auto" w:fill="D8E4BC"/>
            <w:vAlign w:val="center"/>
            <w:hideMark/>
          </w:tcPr>
          <w:p w14:paraId="33F95D23"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Bragassargues</w:t>
            </w:r>
          </w:p>
        </w:tc>
        <w:tc>
          <w:tcPr>
            <w:tcW w:w="3181" w:type="dxa"/>
            <w:tcBorders>
              <w:top w:val="nil"/>
              <w:left w:val="single" w:sz="8" w:space="0" w:color="000000"/>
              <w:bottom w:val="single" w:sz="4" w:space="0" w:color="000000"/>
              <w:right w:val="nil"/>
            </w:tcBorders>
            <w:shd w:val="clear" w:color="auto" w:fill="D8E4BC"/>
            <w:vAlign w:val="center"/>
            <w:hideMark/>
          </w:tcPr>
          <w:p w14:paraId="0076D3FF"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-537,53</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69AF8DAA"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-537,53</w:t>
            </w:r>
          </w:p>
        </w:tc>
      </w:tr>
      <w:tr w:rsidR="0015099D" w14:paraId="186B6221"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73CBEA22"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Brouzet les Quissac</w:t>
            </w:r>
          </w:p>
        </w:tc>
        <w:tc>
          <w:tcPr>
            <w:tcW w:w="3181" w:type="dxa"/>
            <w:tcBorders>
              <w:top w:val="nil"/>
              <w:left w:val="single" w:sz="8" w:space="0" w:color="000000"/>
              <w:bottom w:val="single" w:sz="4" w:space="0" w:color="000000"/>
              <w:right w:val="nil"/>
            </w:tcBorders>
            <w:vAlign w:val="center"/>
            <w:hideMark/>
          </w:tcPr>
          <w:p w14:paraId="70E21C0D"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-1 393,20</w:t>
            </w:r>
          </w:p>
        </w:tc>
        <w:tc>
          <w:tcPr>
            <w:tcW w:w="3340" w:type="dxa"/>
            <w:tcBorders>
              <w:top w:val="nil"/>
              <w:left w:val="single" w:sz="12" w:space="0" w:color="0070C0"/>
              <w:bottom w:val="single" w:sz="4" w:space="0" w:color="000000"/>
              <w:right w:val="single" w:sz="12" w:space="0" w:color="0070C0"/>
            </w:tcBorders>
            <w:vAlign w:val="center"/>
            <w:hideMark/>
          </w:tcPr>
          <w:p w14:paraId="2D5B08BF"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-1 393,20</w:t>
            </w:r>
          </w:p>
        </w:tc>
      </w:tr>
      <w:tr w:rsidR="0015099D" w14:paraId="47E71D7A" w14:textId="77777777" w:rsidTr="0015099D">
        <w:trPr>
          <w:trHeight w:val="336"/>
        </w:trPr>
        <w:tc>
          <w:tcPr>
            <w:tcW w:w="3819" w:type="dxa"/>
            <w:tcBorders>
              <w:top w:val="nil"/>
              <w:left w:val="single" w:sz="8" w:space="0" w:color="000000"/>
              <w:bottom w:val="single" w:sz="4" w:space="0" w:color="000000"/>
              <w:right w:val="nil"/>
            </w:tcBorders>
            <w:shd w:val="clear" w:color="auto" w:fill="D8E4BC"/>
            <w:vAlign w:val="center"/>
            <w:hideMark/>
          </w:tcPr>
          <w:p w14:paraId="6AA03E30"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Canaules &amp; Argentières</w:t>
            </w:r>
          </w:p>
        </w:tc>
        <w:tc>
          <w:tcPr>
            <w:tcW w:w="3181" w:type="dxa"/>
            <w:tcBorders>
              <w:top w:val="nil"/>
              <w:left w:val="single" w:sz="8" w:space="0" w:color="000000"/>
              <w:bottom w:val="single" w:sz="4" w:space="0" w:color="000000"/>
              <w:right w:val="nil"/>
            </w:tcBorders>
            <w:shd w:val="clear" w:color="auto" w:fill="D8E4BC"/>
            <w:vAlign w:val="center"/>
            <w:hideMark/>
          </w:tcPr>
          <w:p w14:paraId="207EAC1A"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11 906,17</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369D342B"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11 906,17</w:t>
            </w:r>
          </w:p>
        </w:tc>
      </w:tr>
      <w:tr w:rsidR="0015099D" w14:paraId="5B209F79"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0862B295"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Cardet</w:t>
            </w:r>
          </w:p>
        </w:tc>
        <w:tc>
          <w:tcPr>
            <w:tcW w:w="3181" w:type="dxa"/>
            <w:tcBorders>
              <w:top w:val="nil"/>
              <w:left w:val="single" w:sz="8" w:space="0" w:color="000000"/>
              <w:bottom w:val="single" w:sz="4" w:space="0" w:color="000000"/>
              <w:right w:val="nil"/>
            </w:tcBorders>
            <w:vAlign w:val="center"/>
            <w:hideMark/>
          </w:tcPr>
          <w:p w14:paraId="4D69A8C3"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4 007,28</w:t>
            </w:r>
          </w:p>
        </w:tc>
        <w:tc>
          <w:tcPr>
            <w:tcW w:w="3340" w:type="dxa"/>
            <w:tcBorders>
              <w:top w:val="nil"/>
              <w:left w:val="single" w:sz="12" w:space="0" w:color="0070C0"/>
              <w:bottom w:val="single" w:sz="4" w:space="0" w:color="000000"/>
              <w:right w:val="single" w:sz="12" w:space="0" w:color="0070C0"/>
            </w:tcBorders>
            <w:vAlign w:val="center"/>
            <w:hideMark/>
          </w:tcPr>
          <w:p w14:paraId="697C283D"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4 007,28</w:t>
            </w:r>
          </w:p>
        </w:tc>
      </w:tr>
      <w:tr w:rsidR="0015099D" w14:paraId="2969BE28" w14:textId="77777777" w:rsidTr="0015099D">
        <w:trPr>
          <w:trHeight w:val="336"/>
        </w:trPr>
        <w:tc>
          <w:tcPr>
            <w:tcW w:w="3819" w:type="dxa"/>
            <w:tcBorders>
              <w:top w:val="nil"/>
              <w:left w:val="single" w:sz="8" w:space="0" w:color="000000"/>
              <w:bottom w:val="single" w:sz="4" w:space="0" w:color="000000"/>
              <w:right w:val="nil"/>
            </w:tcBorders>
            <w:shd w:val="clear" w:color="auto" w:fill="D8E4BC"/>
            <w:vAlign w:val="center"/>
            <w:hideMark/>
          </w:tcPr>
          <w:p w14:paraId="0D92D3B4"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Carnas</w:t>
            </w:r>
          </w:p>
        </w:tc>
        <w:tc>
          <w:tcPr>
            <w:tcW w:w="3181" w:type="dxa"/>
            <w:tcBorders>
              <w:top w:val="nil"/>
              <w:left w:val="single" w:sz="8" w:space="0" w:color="000000"/>
              <w:bottom w:val="single" w:sz="4" w:space="0" w:color="000000"/>
              <w:right w:val="nil"/>
            </w:tcBorders>
            <w:shd w:val="clear" w:color="auto" w:fill="D8E4BC"/>
            <w:vAlign w:val="center"/>
            <w:hideMark/>
          </w:tcPr>
          <w:p w14:paraId="54D065B3"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1 258,75</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59DA5E8A"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1 258,75</w:t>
            </w:r>
          </w:p>
        </w:tc>
      </w:tr>
      <w:tr w:rsidR="0015099D" w14:paraId="1FF03DB0"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58B0DF31"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Cassagnoles</w:t>
            </w:r>
          </w:p>
        </w:tc>
        <w:tc>
          <w:tcPr>
            <w:tcW w:w="3181" w:type="dxa"/>
            <w:tcBorders>
              <w:top w:val="nil"/>
              <w:left w:val="single" w:sz="8" w:space="0" w:color="000000"/>
              <w:bottom w:val="single" w:sz="4" w:space="0" w:color="000000"/>
              <w:right w:val="nil"/>
            </w:tcBorders>
            <w:vAlign w:val="center"/>
            <w:hideMark/>
          </w:tcPr>
          <w:p w14:paraId="146F52C4"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25 407,00</w:t>
            </w:r>
          </w:p>
        </w:tc>
        <w:tc>
          <w:tcPr>
            <w:tcW w:w="3340" w:type="dxa"/>
            <w:tcBorders>
              <w:top w:val="nil"/>
              <w:left w:val="single" w:sz="12" w:space="0" w:color="0070C0"/>
              <w:bottom w:val="single" w:sz="4" w:space="0" w:color="000000"/>
              <w:right w:val="single" w:sz="12" w:space="0" w:color="0070C0"/>
            </w:tcBorders>
            <w:vAlign w:val="center"/>
            <w:hideMark/>
          </w:tcPr>
          <w:p w14:paraId="0DC6D544"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25 407,00</w:t>
            </w:r>
          </w:p>
        </w:tc>
      </w:tr>
      <w:tr w:rsidR="0015099D" w14:paraId="553E2A5A" w14:textId="77777777" w:rsidTr="0015099D">
        <w:trPr>
          <w:trHeight w:val="336"/>
        </w:trPr>
        <w:tc>
          <w:tcPr>
            <w:tcW w:w="3819" w:type="dxa"/>
            <w:tcBorders>
              <w:top w:val="nil"/>
              <w:left w:val="single" w:sz="8" w:space="0" w:color="000000"/>
              <w:bottom w:val="single" w:sz="4" w:space="0" w:color="000000"/>
              <w:right w:val="nil"/>
            </w:tcBorders>
            <w:shd w:val="clear" w:color="auto" w:fill="D8E4BC"/>
            <w:vAlign w:val="center"/>
            <w:hideMark/>
          </w:tcPr>
          <w:p w14:paraId="5E7B5450"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Colognac</w:t>
            </w:r>
          </w:p>
        </w:tc>
        <w:tc>
          <w:tcPr>
            <w:tcW w:w="3181" w:type="dxa"/>
            <w:tcBorders>
              <w:top w:val="nil"/>
              <w:left w:val="single" w:sz="8" w:space="0" w:color="000000"/>
              <w:bottom w:val="single" w:sz="4" w:space="0" w:color="000000"/>
              <w:right w:val="nil"/>
            </w:tcBorders>
            <w:shd w:val="clear" w:color="auto" w:fill="D8E4BC"/>
            <w:vAlign w:val="center"/>
            <w:hideMark/>
          </w:tcPr>
          <w:p w14:paraId="3C5E76ED"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32 190,80</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0F05313A"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32 190,80</w:t>
            </w:r>
          </w:p>
        </w:tc>
      </w:tr>
      <w:tr w:rsidR="0015099D" w14:paraId="59395292"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4CEBA5F2"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Conqueyrac</w:t>
            </w:r>
          </w:p>
        </w:tc>
        <w:tc>
          <w:tcPr>
            <w:tcW w:w="3181" w:type="dxa"/>
            <w:tcBorders>
              <w:top w:val="nil"/>
              <w:left w:val="single" w:sz="8" w:space="0" w:color="000000"/>
              <w:bottom w:val="single" w:sz="4" w:space="0" w:color="000000"/>
              <w:right w:val="nil"/>
            </w:tcBorders>
            <w:vAlign w:val="center"/>
            <w:hideMark/>
          </w:tcPr>
          <w:p w14:paraId="074A1A4C"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25 757,48</w:t>
            </w:r>
          </w:p>
        </w:tc>
        <w:tc>
          <w:tcPr>
            <w:tcW w:w="3340" w:type="dxa"/>
            <w:tcBorders>
              <w:top w:val="nil"/>
              <w:left w:val="single" w:sz="12" w:space="0" w:color="0070C0"/>
              <w:bottom w:val="single" w:sz="4" w:space="0" w:color="000000"/>
              <w:right w:val="single" w:sz="12" w:space="0" w:color="0070C0"/>
            </w:tcBorders>
            <w:vAlign w:val="center"/>
            <w:hideMark/>
          </w:tcPr>
          <w:p w14:paraId="40DF7FDF"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25 757,48</w:t>
            </w:r>
          </w:p>
        </w:tc>
      </w:tr>
      <w:tr w:rsidR="0015099D" w14:paraId="0ECBE0E2" w14:textId="77777777" w:rsidTr="0015099D">
        <w:trPr>
          <w:trHeight w:val="336"/>
        </w:trPr>
        <w:tc>
          <w:tcPr>
            <w:tcW w:w="3819" w:type="dxa"/>
            <w:tcBorders>
              <w:top w:val="single" w:sz="4" w:space="0" w:color="000000"/>
              <w:left w:val="single" w:sz="4" w:space="0" w:color="000000"/>
              <w:bottom w:val="single" w:sz="4" w:space="0" w:color="000000"/>
              <w:right w:val="single" w:sz="4" w:space="0" w:color="000000"/>
            </w:tcBorders>
            <w:shd w:val="clear" w:color="auto" w:fill="D8E4BC"/>
            <w:vAlign w:val="center"/>
            <w:hideMark/>
          </w:tcPr>
          <w:p w14:paraId="07218C99"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Corconne</w:t>
            </w:r>
          </w:p>
        </w:tc>
        <w:tc>
          <w:tcPr>
            <w:tcW w:w="3181" w:type="dxa"/>
            <w:tcBorders>
              <w:top w:val="single" w:sz="4" w:space="0" w:color="000000"/>
              <w:left w:val="single" w:sz="4" w:space="0" w:color="000000"/>
              <w:bottom w:val="single" w:sz="4" w:space="0" w:color="000000"/>
              <w:right w:val="single" w:sz="4" w:space="0" w:color="000000"/>
            </w:tcBorders>
            <w:shd w:val="clear" w:color="auto" w:fill="D8E4BC"/>
            <w:vAlign w:val="center"/>
            <w:hideMark/>
          </w:tcPr>
          <w:p w14:paraId="2D1B9017"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304,10</w:t>
            </w:r>
          </w:p>
        </w:tc>
        <w:tc>
          <w:tcPr>
            <w:tcW w:w="3340" w:type="dxa"/>
            <w:tcBorders>
              <w:top w:val="single" w:sz="4" w:space="0" w:color="000000"/>
              <w:left w:val="single" w:sz="4" w:space="0" w:color="000000"/>
              <w:bottom w:val="single" w:sz="4" w:space="0" w:color="000000"/>
              <w:right w:val="single" w:sz="4" w:space="0" w:color="000000"/>
            </w:tcBorders>
            <w:shd w:val="clear" w:color="auto" w:fill="D8E4BC"/>
            <w:vAlign w:val="center"/>
            <w:hideMark/>
          </w:tcPr>
          <w:p w14:paraId="15739946"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304,10</w:t>
            </w:r>
          </w:p>
        </w:tc>
      </w:tr>
      <w:tr w:rsidR="0015099D" w14:paraId="748015F1"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3E7EF865"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Cros</w:t>
            </w:r>
          </w:p>
        </w:tc>
        <w:tc>
          <w:tcPr>
            <w:tcW w:w="3181" w:type="dxa"/>
            <w:tcBorders>
              <w:top w:val="nil"/>
              <w:left w:val="single" w:sz="8" w:space="0" w:color="000000"/>
              <w:bottom w:val="single" w:sz="4" w:space="0" w:color="000000"/>
              <w:right w:val="nil"/>
            </w:tcBorders>
            <w:vAlign w:val="center"/>
            <w:hideMark/>
          </w:tcPr>
          <w:p w14:paraId="280C20AC"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40 347,70</w:t>
            </w:r>
          </w:p>
        </w:tc>
        <w:tc>
          <w:tcPr>
            <w:tcW w:w="3340" w:type="dxa"/>
            <w:tcBorders>
              <w:top w:val="nil"/>
              <w:left w:val="single" w:sz="12" w:space="0" w:color="0070C0"/>
              <w:bottom w:val="single" w:sz="4" w:space="0" w:color="000000"/>
              <w:right w:val="single" w:sz="12" w:space="0" w:color="0070C0"/>
            </w:tcBorders>
            <w:vAlign w:val="center"/>
            <w:hideMark/>
          </w:tcPr>
          <w:p w14:paraId="744E2220"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40 347,70</w:t>
            </w:r>
          </w:p>
        </w:tc>
      </w:tr>
      <w:tr w:rsidR="0015099D" w14:paraId="450EBC97" w14:textId="77777777" w:rsidTr="0015099D">
        <w:trPr>
          <w:trHeight w:val="672"/>
        </w:trPr>
        <w:tc>
          <w:tcPr>
            <w:tcW w:w="3819" w:type="dxa"/>
            <w:tcBorders>
              <w:top w:val="nil"/>
              <w:left w:val="single" w:sz="8" w:space="0" w:color="000000"/>
              <w:bottom w:val="single" w:sz="4" w:space="0" w:color="000000"/>
              <w:right w:val="nil"/>
            </w:tcBorders>
            <w:shd w:val="clear" w:color="auto" w:fill="D8E4BC"/>
            <w:vAlign w:val="center"/>
            <w:hideMark/>
          </w:tcPr>
          <w:p w14:paraId="70D6A32D"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Durfort &amp; St Martin de Sossenac</w:t>
            </w:r>
          </w:p>
        </w:tc>
        <w:tc>
          <w:tcPr>
            <w:tcW w:w="3181" w:type="dxa"/>
            <w:tcBorders>
              <w:top w:val="nil"/>
              <w:left w:val="single" w:sz="8" w:space="0" w:color="000000"/>
              <w:bottom w:val="single" w:sz="4" w:space="0" w:color="000000"/>
              <w:right w:val="nil"/>
            </w:tcBorders>
            <w:shd w:val="clear" w:color="auto" w:fill="D8E4BC"/>
            <w:vAlign w:val="center"/>
            <w:hideMark/>
          </w:tcPr>
          <w:p w14:paraId="753EF373"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80 361,85</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0B0E7798"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80 361,85</w:t>
            </w:r>
          </w:p>
        </w:tc>
      </w:tr>
      <w:tr w:rsidR="0015099D" w14:paraId="0D7EA8F8"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6165B370"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Fressac</w:t>
            </w:r>
          </w:p>
        </w:tc>
        <w:tc>
          <w:tcPr>
            <w:tcW w:w="3181" w:type="dxa"/>
            <w:tcBorders>
              <w:top w:val="nil"/>
              <w:left w:val="single" w:sz="8" w:space="0" w:color="000000"/>
              <w:bottom w:val="single" w:sz="4" w:space="0" w:color="000000"/>
              <w:right w:val="nil"/>
            </w:tcBorders>
            <w:vAlign w:val="center"/>
            <w:hideMark/>
          </w:tcPr>
          <w:p w14:paraId="15A1AD93"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16 986,15</w:t>
            </w:r>
          </w:p>
        </w:tc>
        <w:tc>
          <w:tcPr>
            <w:tcW w:w="3340" w:type="dxa"/>
            <w:tcBorders>
              <w:top w:val="nil"/>
              <w:left w:val="single" w:sz="12" w:space="0" w:color="0070C0"/>
              <w:bottom w:val="single" w:sz="4" w:space="0" w:color="000000"/>
              <w:right w:val="single" w:sz="12" w:space="0" w:color="0070C0"/>
            </w:tcBorders>
            <w:vAlign w:val="center"/>
            <w:hideMark/>
          </w:tcPr>
          <w:p w14:paraId="768CAABA"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16 986,15</w:t>
            </w:r>
          </w:p>
        </w:tc>
      </w:tr>
      <w:tr w:rsidR="0015099D" w14:paraId="432A1EF9" w14:textId="77777777" w:rsidTr="0015099D">
        <w:trPr>
          <w:trHeight w:val="336"/>
        </w:trPr>
        <w:tc>
          <w:tcPr>
            <w:tcW w:w="3819" w:type="dxa"/>
            <w:tcBorders>
              <w:top w:val="nil"/>
              <w:left w:val="single" w:sz="8" w:space="0" w:color="000000"/>
              <w:bottom w:val="single" w:sz="4" w:space="0" w:color="000000"/>
              <w:right w:val="nil"/>
            </w:tcBorders>
            <w:shd w:val="clear" w:color="auto" w:fill="D8E4BC"/>
            <w:vAlign w:val="center"/>
            <w:hideMark/>
          </w:tcPr>
          <w:p w14:paraId="4F24EE43"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Gailhan</w:t>
            </w:r>
          </w:p>
        </w:tc>
        <w:tc>
          <w:tcPr>
            <w:tcW w:w="3181" w:type="dxa"/>
            <w:tcBorders>
              <w:top w:val="nil"/>
              <w:left w:val="single" w:sz="8" w:space="0" w:color="000000"/>
              <w:bottom w:val="single" w:sz="4" w:space="0" w:color="000000"/>
              <w:right w:val="nil"/>
            </w:tcBorders>
            <w:shd w:val="clear" w:color="auto" w:fill="D8E4BC"/>
            <w:vAlign w:val="center"/>
            <w:hideMark/>
          </w:tcPr>
          <w:p w14:paraId="56D554B5"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11 255,93</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511F91D3"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11 255,93</w:t>
            </w:r>
          </w:p>
        </w:tc>
      </w:tr>
      <w:tr w:rsidR="0015099D" w14:paraId="68E96B76"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41F30FB2"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La Cadière &amp; Cambo</w:t>
            </w:r>
          </w:p>
        </w:tc>
        <w:tc>
          <w:tcPr>
            <w:tcW w:w="3181" w:type="dxa"/>
            <w:tcBorders>
              <w:top w:val="nil"/>
              <w:left w:val="single" w:sz="8" w:space="0" w:color="000000"/>
              <w:bottom w:val="single" w:sz="4" w:space="0" w:color="000000"/>
              <w:right w:val="nil"/>
            </w:tcBorders>
            <w:vAlign w:val="center"/>
            <w:hideMark/>
          </w:tcPr>
          <w:p w14:paraId="24AE0651"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26 242,83</w:t>
            </w:r>
          </w:p>
        </w:tc>
        <w:tc>
          <w:tcPr>
            <w:tcW w:w="3340" w:type="dxa"/>
            <w:tcBorders>
              <w:top w:val="nil"/>
              <w:left w:val="single" w:sz="12" w:space="0" w:color="0070C0"/>
              <w:bottom w:val="single" w:sz="4" w:space="0" w:color="000000"/>
              <w:right w:val="single" w:sz="12" w:space="0" w:color="0070C0"/>
            </w:tcBorders>
            <w:vAlign w:val="center"/>
            <w:hideMark/>
          </w:tcPr>
          <w:p w14:paraId="4335256C"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26 242,83</w:t>
            </w:r>
          </w:p>
        </w:tc>
      </w:tr>
      <w:tr w:rsidR="0015099D" w14:paraId="3E6A9041" w14:textId="77777777" w:rsidTr="0015099D">
        <w:trPr>
          <w:trHeight w:val="336"/>
        </w:trPr>
        <w:tc>
          <w:tcPr>
            <w:tcW w:w="3819" w:type="dxa"/>
            <w:tcBorders>
              <w:top w:val="nil"/>
              <w:left w:val="single" w:sz="8" w:space="0" w:color="000000"/>
              <w:bottom w:val="single" w:sz="4" w:space="0" w:color="000000"/>
              <w:right w:val="nil"/>
            </w:tcBorders>
            <w:shd w:val="clear" w:color="auto" w:fill="D8E4BC"/>
            <w:vAlign w:val="center"/>
            <w:hideMark/>
          </w:tcPr>
          <w:p w14:paraId="5DCC75CB"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Lédignan</w:t>
            </w:r>
          </w:p>
        </w:tc>
        <w:tc>
          <w:tcPr>
            <w:tcW w:w="3181" w:type="dxa"/>
            <w:tcBorders>
              <w:top w:val="nil"/>
              <w:left w:val="single" w:sz="8" w:space="0" w:color="000000"/>
              <w:bottom w:val="single" w:sz="4" w:space="0" w:color="000000"/>
              <w:right w:val="nil"/>
            </w:tcBorders>
            <w:shd w:val="clear" w:color="auto" w:fill="D8E4BC"/>
            <w:vAlign w:val="center"/>
            <w:hideMark/>
          </w:tcPr>
          <w:p w14:paraId="07CFC41E"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112 639,19</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48A35E6E"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112 639,19</w:t>
            </w:r>
          </w:p>
        </w:tc>
      </w:tr>
      <w:tr w:rsidR="0015099D" w14:paraId="16B887E0"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192CF5D7"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Liouc</w:t>
            </w:r>
          </w:p>
        </w:tc>
        <w:tc>
          <w:tcPr>
            <w:tcW w:w="3181" w:type="dxa"/>
            <w:tcBorders>
              <w:top w:val="nil"/>
              <w:left w:val="single" w:sz="8" w:space="0" w:color="000000"/>
              <w:bottom w:val="single" w:sz="4" w:space="0" w:color="000000"/>
              <w:right w:val="nil"/>
            </w:tcBorders>
            <w:vAlign w:val="center"/>
            <w:hideMark/>
          </w:tcPr>
          <w:p w14:paraId="6CE005FB"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8 676,44</w:t>
            </w:r>
          </w:p>
        </w:tc>
        <w:tc>
          <w:tcPr>
            <w:tcW w:w="3340" w:type="dxa"/>
            <w:tcBorders>
              <w:top w:val="nil"/>
              <w:left w:val="single" w:sz="12" w:space="0" w:color="0070C0"/>
              <w:bottom w:val="single" w:sz="4" w:space="0" w:color="000000"/>
              <w:right w:val="single" w:sz="12" w:space="0" w:color="0070C0"/>
            </w:tcBorders>
            <w:vAlign w:val="center"/>
            <w:hideMark/>
          </w:tcPr>
          <w:p w14:paraId="695255F5"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8 676,44</w:t>
            </w:r>
          </w:p>
        </w:tc>
      </w:tr>
      <w:tr w:rsidR="0015099D" w14:paraId="666E7E86" w14:textId="77777777" w:rsidTr="0015099D">
        <w:trPr>
          <w:trHeight w:val="336"/>
        </w:trPr>
        <w:tc>
          <w:tcPr>
            <w:tcW w:w="3819" w:type="dxa"/>
            <w:tcBorders>
              <w:top w:val="nil"/>
              <w:left w:val="single" w:sz="8" w:space="0" w:color="000000"/>
              <w:bottom w:val="single" w:sz="4" w:space="0" w:color="000000"/>
              <w:right w:val="nil"/>
            </w:tcBorders>
            <w:shd w:val="clear" w:color="auto" w:fill="D8E4BC"/>
            <w:vAlign w:val="center"/>
            <w:hideMark/>
          </w:tcPr>
          <w:p w14:paraId="4041571E"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Logrian</w:t>
            </w:r>
          </w:p>
        </w:tc>
        <w:tc>
          <w:tcPr>
            <w:tcW w:w="3181" w:type="dxa"/>
            <w:tcBorders>
              <w:top w:val="nil"/>
              <w:left w:val="single" w:sz="8" w:space="0" w:color="000000"/>
              <w:bottom w:val="single" w:sz="4" w:space="0" w:color="000000"/>
              <w:right w:val="nil"/>
            </w:tcBorders>
            <w:shd w:val="clear" w:color="auto" w:fill="D8E4BC"/>
            <w:vAlign w:val="center"/>
            <w:hideMark/>
          </w:tcPr>
          <w:p w14:paraId="25B80353"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3 038,18</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1F64506F"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3 038,18</w:t>
            </w:r>
          </w:p>
        </w:tc>
      </w:tr>
      <w:tr w:rsidR="0015099D" w14:paraId="0EE085D5"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37F8D078"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Maruéjols-lès-Gardon</w:t>
            </w:r>
          </w:p>
        </w:tc>
        <w:tc>
          <w:tcPr>
            <w:tcW w:w="3181" w:type="dxa"/>
            <w:tcBorders>
              <w:top w:val="nil"/>
              <w:left w:val="single" w:sz="8" w:space="0" w:color="000000"/>
              <w:bottom w:val="single" w:sz="4" w:space="0" w:color="000000"/>
              <w:right w:val="nil"/>
            </w:tcBorders>
            <w:vAlign w:val="center"/>
            <w:hideMark/>
          </w:tcPr>
          <w:p w14:paraId="5F6253C0"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3 493,04</w:t>
            </w:r>
          </w:p>
        </w:tc>
        <w:tc>
          <w:tcPr>
            <w:tcW w:w="3340" w:type="dxa"/>
            <w:tcBorders>
              <w:top w:val="nil"/>
              <w:left w:val="single" w:sz="12" w:space="0" w:color="0070C0"/>
              <w:bottom w:val="single" w:sz="4" w:space="0" w:color="000000"/>
              <w:right w:val="single" w:sz="12" w:space="0" w:color="0070C0"/>
            </w:tcBorders>
            <w:vAlign w:val="center"/>
            <w:hideMark/>
          </w:tcPr>
          <w:p w14:paraId="5A33C384"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3 493,04</w:t>
            </w:r>
          </w:p>
        </w:tc>
      </w:tr>
      <w:tr w:rsidR="0015099D" w14:paraId="1E62FBA3" w14:textId="77777777" w:rsidTr="0015099D">
        <w:trPr>
          <w:trHeight w:val="336"/>
        </w:trPr>
        <w:tc>
          <w:tcPr>
            <w:tcW w:w="3819" w:type="dxa"/>
            <w:tcBorders>
              <w:top w:val="nil"/>
              <w:left w:val="single" w:sz="8" w:space="0" w:color="000000"/>
              <w:bottom w:val="single" w:sz="4" w:space="0" w:color="000000"/>
              <w:right w:val="nil"/>
            </w:tcBorders>
            <w:shd w:val="clear" w:color="auto" w:fill="D8E4BC"/>
            <w:vAlign w:val="center"/>
            <w:hideMark/>
          </w:tcPr>
          <w:p w14:paraId="567AFEEA"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Monoblet</w:t>
            </w:r>
          </w:p>
        </w:tc>
        <w:tc>
          <w:tcPr>
            <w:tcW w:w="3181" w:type="dxa"/>
            <w:tcBorders>
              <w:top w:val="nil"/>
              <w:left w:val="single" w:sz="8" w:space="0" w:color="000000"/>
              <w:bottom w:val="single" w:sz="4" w:space="0" w:color="000000"/>
              <w:right w:val="nil"/>
            </w:tcBorders>
            <w:shd w:val="clear" w:color="auto" w:fill="D8E4BC"/>
            <w:vAlign w:val="center"/>
            <w:hideMark/>
          </w:tcPr>
          <w:p w14:paraId="47923C3C"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100 273,20</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501DB2D8"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100 273,20</w:t>
            </w:r>
          </w:p>
        </w:tc>
      </w:tr>
      <w:tr w:rsidR="0015099D" w14:paraId="51D934EA"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565C56A8"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Orthoux-Sérignac-Quilhan</w:t>
            </w:r>
          </w:p>
        </w:tc>
        <w:tc>
          <w:tcPr>
            <w:tcW w:w="3181" w:type="dxa"/>
            <w:tcBorders>
              <w:top w:val="nil"/>
              <w:left w:val="single" w:sz="8" w:space="0" w:color="000000"/>
              <w:bottom w:val="single" w:sz="4" w:space="0" w:color="000000"/>
              <w:right w:val="nil"/>
            </w:tcBorders>
            <w:vAlign w:val="center"/>
            <w:hideMark/>
          </w:tcPr>
          <w:p w14:paraId="2F755EF2"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-2 217,50</w:t>
            </w:r>
          </w:p>
        </w:tc>
        <w:tc>
          <w:tcPr>
            <w:tcW w:w="3340" w:type="dxa"/>
            <w:tcBorders>
              <w:top w:val="nil"/>
              <w:left w:val="single" w:sz="12" w:space="0" w:color="0070C0"/>
              <w:bottom w:val="single" w:sz="4" w:space="0" w:color="000000"/>
              <w:right w:val="single" w:sz="12" w:space="0" w:color="0070C0"/>
            </w:tcBorders>
            <w:vAlign w:val="center"/>
            <w:hideMark/>
          </w:tcPr>
          <w:p w14:paraId="44C843AE"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-2 217,50</w:t>
            </w:r>
          </w:p>
        </w:tc>
      </w:tr>
      <w:tr w:rsidR="0015099D" w14:paraId="624C27C6" w14:textId="77777777" w:rsidTr="0015099D">
        <w:trPr>
          <w:trHeight w:val="336"/>
        </w:trPr>
        <w:tc>
          <w:tcPr>
            <w:tcW w:w="3819" w:type="dxa"/>
            <w:tcBorders>
              <w:top w:val="nil"/>
              <w:left w:val="single" w:sz="8" w:space="0" w:color="000000"/>
              <w:bottom w:val="single" w:sz="4" w:space="0" w:color="000000"/>
              <w:right w:val="nil"/>
            </w:tcBorders>
            <w:shd w:val="clear" w:color="auto" w:fill="D8E4BC"/>
            <w:vAlign w:val="center"/>
            <w:hideMark/>
          </w:tcPr>
          <w:p w14:paraId="14CFD285"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Pompignan</w:t>
            </w:r>
          </w:p>
        </w:tc>
        <w:tc>
          <w:tcPr>
            <w:tcW w:w="3181" w:type="dxa"/>
            <w:tcBorders>
              <w:top w:val="nil"/>
              <w:left w:val="single" w:sz="8" w:space="0" w:color="000000"/>
              <w:bottom w:val="single" w:sz="4" w:space="0" w:color="000000"/>
              <w:right w:val="nil"/>
            </w:tcBorders>
            <w:shd w:val="clear" w:color="auto" w:fill="D8E4BC"/>
            <w:vAlign w:val="center"/>
            <w:hideMark/>
          </w:tcPr>
          <w:p w14:paraId="03CC062C"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79 481,60</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45156EE5"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79 481,60</w:t>
            </w:r>
          </w:p>
        </w:tc>
      </w:tr>
      <w:tr w:rsidR="0015099D" w14:paraId="3B513570" w14:textId="77777777" w:rsidTr="0015099D">
        <w:trPr>
          <w:trHeight w:val="348"/>
        </w:trPr>
        <w:tc>
          <w:tcPr>
            <w:tcW w:w="3819" w:type="dxa"/>
            <w:tcBorders>
              <w:top w:val="nil"/>
              <w:left w:val="single" w:sz="8" w:space="0" w:color="000000"/>
              <w:bottom w:val="single" w:sz="4" w:space="0" w:color="000000"/>
              <w:right w:val="nil"/>
            </w:tcBorders>
            <w:shd w:val="clear" w:color="auto" w:fill="D8E4BC"/>
            <w:vAlign w:val="center"/>
            <w:hideMark/>
          </w:tcPr>
          <w:p w14:paraId="1E9EB5F1"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bookmarkStart w:id="2" w:name="_Hlk187311415"/>
            <w:r>
              <w:rPr>
                <w:rFonts w:ascii="Gotham Light" w:eastAsia="Aptos" w:hAnsi="Gotham Light"/>
                <w:kern w:val="2"/>
                <w:sz w:val="26"/>
                <w:szCs w:val="26"/>
                <w:lang w:eastAsia="en-US"/>
                <w14:ligatures w14:val="standardContextual"/>
              </w:rPr>
              <w:t>St Bénézet</w:t>
            </w:r>
          </w:p>
        </w:tc>
        <w:tc>
          <w:tcPr>
            <w:tcW w:w="3181" w:type="dxa"/>
            <w:tcBorders>
              <w:top w:val="nil"/>
              <w:left w:val="single" w:sz="8" w:space="0" w:color="000000"/>
              <w:bottom w:val="single" w:sz="4" w:space="0" w:color="000000"/>
              <w:right w:val="nil"/>
            </w:tcBorders>
            <w:shd w:val="clear" w:color="auto" w:fill="D8E4BC"/>
            <w:vAlign w:val="center"/>
            <w:hideMark/>
          </w:tcPr>
          <w:p w14:paraId="49B69E51"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-2 007,99</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7DE45300"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-2 007,99</w:t>
            </w:r>
          </w:p>
        </w:tc>
      </w:tr>
      <w:tr w:rsidR="0015099D" w14:paraId="0387648B" w14:textId="77777777" w:rsidTr="0015099D">
        <w:trPr>
          <w:trHeight w:val="348"/>
        </w:trPr>
        <w:tc>
          <w:tcPr>
            <w:tcW w:w="3819" w:type="dxa"/>
            <w:tcBorders>
              <w:top w:val="nil"/>
              <w:left w:val="single" w:sz="8" w:space="0" w:color="000000"/>
              <w:bottom w:val="single" w:sz="4" w:space="0" w:color="000000"/>
              <w:right w:val="nil"/>
            </w:tcBorders>
            <w:vAlign w:val="center"/>
            <w:hideMark/>
          </w:tcPr>
          <w:p w14:paraId="357BEF11"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St Félix de Pallières</w:t>
            </w:r>
          </w:p>
        </w:tc>
        <w:tc>
          <w:tcPr>
            <w:tcW w:w="3181" w:type="dxa"/>
            <w:tcBorders>
              <w:top w:val="nil"/>
              <w:left w:val="single" w:sz="8" w:space="0" w:color="000000"/>
              <w:bottom w:val="single" w:sz="4" w:space="0" w:color="000000"/>
              <w:right w:val="nil"/>
            </w:tcBorders>
            <w:vAlign w:val="center"/>
            <w:hideMark/>
          </w:tcPr>
          <w:p w14:paraId="6E8F2FCC"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31 649,20</w:t>
            </w:r>
          </w:p>
        </w:tc>
        <w:tc>
          <w:tcPr>
            <w:tcW w:w="3340" w:type="dxa"/>
            <w:tcBorders>
              <w:top w:val="nil"/>
              <w:left w:val="single" w:sz="12" w:space="0" w:color="0070C0"/>
              <w:bottom w:val="single" w:sz="4" w:space="0" w:color="000000"/>
              <w:right w:val="single" w:sz="12" w:space="0" w:color="0070C0"/>
            </w:tcBorders>
            <w:vAlign w:val="center"/>
            <w:hideMark/>
          </w:tcPr>
          <w:p w14:paraId="06299009"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31 649,20</w:t>
            </w:r>
          </w:p>
        </w:tc>
      </w:tr>
      <w:tr w:rsidR="0015099D" w14:paraId="08E23DE2" w14:textId="77777777" w:rsidTr="0015099D">
        <w:trPr>
          <w:trHeight w:val="336"/>
        </w:trPr>
        <w:tc>
          <w:tcPr>
            <w:tcW w:w="3819" w:type="dxa"/>
            <w:tcBorders>
              <w:top w:val="nil"/>
              <w:left w:val="single" w:sz="8" w:space="0" w:color="000000"/>
              <w:bottom w:val="single" w:sz="4" w:space="0" w:color="000000"/>
              <w:right w:val="nil"/>
            </w:tcBorders>
            <w:shd w:val="clear" w:color="auto" w:fill="D8E4BC"/>
            <w:vAlign w:val="center"/>
            <w:hideMark/>
          </w:tcPr>
          <w:p w14:paraId="7C28CF9B"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St Hippolyte du Fort</w:t>
            </w:r>
          </w:p>
        </w:tc>
        <w:tc>
          <w:tcPr>
            <w:tcW w:w="3181" w:type="dxa"/>
            <w:tcBorders>
              <w:top w:val="nil"/>
              <w:left w:val="single" w:sz="8" w:space="0" w:color="000000"/>
              <w:bottom w:val="single" w:sz="4" w:space="0" w:color="000000"/>
              <w:right w:val="nil"/>
            </w:tcBorders>
            <w:shd w:val="clear" w:color="auto" w:fill="DAF2D0"/>
            <w:vAlign w:val="center"/>
            <w:hideMark/>
          </w:tcPr>
          <w:p w14:paraId="44B16678"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750 206,28</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64B4D87E"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750 206,28</w:t>
            </w:r>
          </w:p>
        </w:tc>
      </w:tr>
      <w:tr w:rsidR="0015099D" w14:paraId="69F7DE6C" w14:textId="77777777" w:rsidTr="0015099D">
        <w:trPr>
          <w:trHeight w:val="336"/>
        </w:trPr>
        <w:tc>
          <w:tcPr>
            <w:tcW w:w="3819" w:type="dxa"/>
            <w:tcBorders>
              <w:top w:val="nil"/>
              <w:left w:val="single" w:sz="8" w:space="0" w:color="000000"/>
              <w:bottom w:val="nil"/>
              <w:right w:val="nil"/>
            </w:tcBorders>
            <w:vAlign w:val="center"/>
            <w:hideMark/>
          </w:tcPr>
          <w:p w14:paraId="6A6CADFD"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St Jean de Crieulon</w:t>
            </w:r>
          </w:p>
        </w:tc>
        <w:tc>
          <w:tcPr>
            <w:tcW w:w="3181" w:type="dxa"/>
            <w:tcBorders>
              <w:top w:val="nil"/>
              <w:left w:val="single" w:sz="8" w:space="0" w:color="000000"/>
              <w:bottom w:val="single" w:sz="4" w:space="0" w:color="000000"/>
              <w:right w:val="nil"/>
            </w:tcBorders>
            <w:vAlign w:val="center"/>
            <w:hideMark/>
          </w:tcPr>
          <w:p w14:paraId="665BA72A"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-989,10</w:t>
            </w:r>
          </w:p>
        </w:tc>
        <w:tc>
          <w:tcPr>
            <w:tcW w:w="3340" w:type="dxa"/>
            <w:tcBorders>
              <w:top w:val="nil"/>
              <w:left w:val="single" w:sz="12" w:space="0" w:color="0070C0"/>
              <w:bottom w:val="single" w:sz="4" w:space="0" w:color="000000"/>
              <w:right w:val="single" w:sz="12" w:space="0" w:color="0070C0"/>
            </w:tcBorders>
            <w:vAlign w:val="center"/>
            <w:hideMark/>
          </w:tcPr>
          <w:p w14:paraId="6528D172"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-989,10</w:t>
            </w:r>
          </w:p>
        </w:tc>
      </w:tr>
      <w:tr w:rsidR="0015099D" w14:paraId="5E25AC77" w14:textId="77777777" w:rsidTr="0015099D">
        <w:trPr>
          <w:trHeight w:val="336"/>
        </w:trPr>
        <w:tc>
          <w:tcPr>
            <w:tcW w:w="3819" w:type="dxa"/>
            <w:tcBorders>
              <w:top w:val="single" w:sz="4" w:space="0" w:color="000000"/>
              <w:left w:val="single" w:sz="8" w:space="0" w:color="000000"/>
              <w:bottom w:val="nil"/>
              <w:right w:val="nil"/>
            </w:tcBorders>
            <w:shd w:val="clear" w:color="auto" w:fill="D8E4BC"/>
            <w:vAlign w:val="center"/>
            <w:hideMark/>
          </w:tcPr>
          <w:p w14:paraId="651CD788"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St Nazaire des Gardies</w:t>
            </w:r>
          </w:p>
        </w:tc>
        <w:tc>
          <w:tcPr>
            <w:tcW w:w="3181" w:type="dxa"/>
            <w:tcBorders>
              <w:top w:val="nil"/>
              <w:left w:val="single" w:sz="8" w:space="0" w:color="000000"/>
              <w:bottom w:val="single" w:sz="4" w:space="0" w:color="000000"/>
              <w:right w:val="nil"/>
            </w:tcBorders>
            <w:shd w:val="clear" w:color="auto" w:fill="D8E4BC"/>
            <w:vAlign w:val="center"/>
            <w:hideMark/>
          </w:tcPr>
          <w:p w14:paraId="1E8577BE"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1 998,58</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014F66C1"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1 998,58</w:t>
            </w:r>
          </w:p>
        </w:tc>
      </w:tr>
      <w:tr w:rsidR="0015099D" w14:paraId="50F772B6" w14:textId="77777777" w:rsidTr="0015099D">
        <w:trPr>
          <w:trHeight w:val="336"/>
        </w:trPr>
        <w:tc>
          <w:tcPr>
            <w:tcW w:w="3819" w:type="dxa"/>
            <w:tcBorders>
              <w:top w:val="single" w:sz="4" w:space="0" w:color="000000"/>
              <w:left w:val="single" w:sz="8" w:space="0" w:color="000000"/>
              <w:bottom w:val="nil"/>
              <w:right w:val="nil"/>
            </w:tcBorders>
            <w:vAlign w:val="center"/>
          </w:tcPr>
          <w:p w14:paraId="66562D77" w14:textId="77777777" w:rsidR="0015099D" w:rsidRDefault="0015099D">
            <w:pPr>
              <w:suppressAutoHyphens/>
              <w:spacing w:line="256" w:lineRule="auto"/>
              <w:rPr>
                <w:rFonts w:ascii="Gotham Light" w:eastAsia="Aptos" w:hAnsi="Gotham Light"/>
                <w:kern w:val="2"/>
                <w:sz w:val="26"/>
                <w:szCs w:val="26"/>
                <w:lang w:eastAsia="en-US"/>
                <w14:ligatures w14:val="standardContextual"/>
              </w:rPr>
            </w:pPr>
          </w:p>
        </w:tc>
        <w:tc>
          <w:tcPr>
            <w:tcW w:w="3181" w:type="dxa"/>
            <w:tcBorders>
              <w:top w:val="nil"/>
              <w:left w:val="single" w:sz="8" w:space="0" w:color="000000"/>
              <w:bottom w:val="single" w:sz="4" w:space="0" w:color="000000"/>
              <w:right w:val="nil"/>
            </w:tcBorders>
            <w:vAlign w:val="center"/>
            <w:hideMark/>
          </w:tcPr>
          <w:p w14:paraId="131B2A8A"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861,00</w:t>
            </w:r>
          </w:p>
        </w:tc>
        <w:tc>
          <w:tcPr>
            <w:tcW w:w="3340" w:type="dxa"/>
            <w:tcBorders>
              <w:top w:val="nil"/>
              <w:left w:val="single" w:sz="12" w:space="0" w:color="0070C0"/>
              <w:bottom w:val="single" w:sz="4" w:space="0" w:color="000000"/>
              <w:right w:val="single" w:sz="12" w:space="0" w:color="0070C0"/>
            </w:tcBorders>
            <w:vAlign w:val="center"/>
            <w:hideMark/>
          </w:tcPr>
          <w:p w14:paraId="143BB0B9"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861,00</w:t>
            </w:r>
          </w:p>
        </w:tc>
      </w:tr>
      <w:bookmarkEnd w:id="2"/>
    </w:tbl>
    <w:p w14:paraId="0D4BDEA3" w14:textId="77777777" w:rsidR="0015099D" w:rsidRDefault="0015099D" w:rsidP="0015099D">
      <w:pPr>
        <w:jc w:val="right"/>
        <w:rPr>
          <w:rFonts w:ascii="Arial" w:hAnsi="Arial" w:cs="Arial"/>
        </w:rPr>
      </w:pPr>
    </w:p>
    <w:p w14:paraId="32A8B90E" w14:textId="77777777" w:rsidR="0015099D" w:rsidRDefault="0015099D" w:rsidP="0015099D">
      <w:pPr>
        <w:jc w:val="right"/>
        <w:rPr>
          <w:rFonts w:ascii="Arial" w:hAnsi="Arial" w:cs="Arial"/>
        </w:rPr>
      </w:pPr>
    </w:p>
    <w:p w14:paraId="0DD01D83" w14:textId="77777777" w:rsidR="0015099D" w:rsidRDefault="0015099D" w:rsidP="0015099D">
      <w:pPr>
        <w:jc w:val="right"/>
        <w:rPr>
          <w:rFonts w:ascii="Arial" w:hAnsi="Arial" w:cs="Arial"/>
        </w:rPr>
      </w:pPr>
    </w:p>
    <w:p w14:paraId="0408F2C0" w14:textId="77777777" w:rsidR="0015099D" w:rsidRDefault="0015099D" w:rsidP="0015099D">
      <w:pPr>
        <w:rPr>
          <w:rFonts w:ascii="Arial" w:hAnsi="Arial" w:cs="Arial"/>
        </w:rPr>
      </w:pPr>
    </w:p>
    <w:p w14:paraId="66556027" w14:textId="77777777" w:rsidR="0015099D" w:rsidRDefault="0015099D" w:rsidP="0015099D">
      <w:pPr>
        <w:jc w:val="right"/>
        <w:rPr>
          <w:rFonts w:ascii="Arial" w:hAnsi="Arial" w:cs="Arial"/>
        </w:rPr>
      </w:pPr>
    </w:p>
    <w:p w14:paraId="4AFD4B43" w14:textId="77777777" w:rsidR="0015099D" w:rsidRDefault="0015099D" w:rsidP="0015099D">
      <w:pPr>
        <w:rPr>
          <w:sz w:val="24"/>
          <w:szCs w:val="24"/>
        </w:rPr>
      </w:pPr>
    </w:p>
    <w:tbl>
      <w:tblPr>
        <w:tblW w:w="10340" w:type="dxa"/>
        <w:tblCellMar>
          <w:left w:w="70" w:type="dxa"/>
          <w:right w:w="70" w:type="dxa"/>
        </w:tblCellMar>
        <w:tblLook w:val="04A0" w:firstRow="1" w:lastRow="0" w:firstColumn="1" w:lastColumn="0" w:noHBand="0" w:noVBand="1"/>
      </w:tblPr>
      <w:tblGrid>
        <w:gridCol w:w="3819"/>
        <w:gridCol w:w="3181"/>
        <w:gridCol w:w="3340"/>
      </w:tblGrid>
      <w:tr w:rsidR="0015099D" w14:paraId="7A10652F"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6B7428EB"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lastRenderedPageBreak/>
              <w:t>Puechredon</w:t>
            </w:r>
          </w:p>
        </w:tc>
        <w:tc>
          <w:tcPr>
            <w:tcW w:w="3181" w:type="dxa"/>
            <w:tcBorders>
              <w:top w:val="nil"/>
              <w:left w:val="single" w:sz="8" w:space="0" w:color="000000"/>
              <w:bottom w:val="single" w:sz="4" w:space="0" w:color="000000"/>
              <w:right w:val="nil"/>
            </w:tcBorders>
            <w:vAlign w:val="center"/>
            <w:hideMark/>
          </w:tcPr>
          <w:p w14:paraId="6252B289"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-318,00</w:t>
            </w:r>
          </w:p>
        </w:tc>
        <w:tc>
          <w:tcPr>
            <w:tcW w:w="3340" w:type="dxa"/>
            <w:tcBorders>
              <w:top w:val="nil"/>
              <w:left w:val="single" w:sz="12" w:space="0" w:color="0070C0"/>
              <w:bottom w:val="single" w:sz="4" w:space="0" w:color="000000"/>
              <w:right w:val="single" w:sz="12" w:space="0" w:color="0070C0"/>
            </w:tcBorders>
            <w:vAlign w:val="center"/>
            <w:hideMark/>
          </w:tcPr>
          <w:p w14:paraId="199812A8"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-318,00</w:t>
            </w:r>
          </w:p>
        </w:tc>
      </w:tr>
      <w:tr w:rsidR="0015099D" w14:paraId="3B803F86" w14:textId="77777777" w:rsidTr="0015099D">
        <w:trPr>
          <w:trHeight w:val="336"/>
        </w:trPr>
        <w:tc>
          <w:tcPr>
            <w:tcW w:w="3819" w:type="dxa"/>
            <w:tcBorders>
              <w:top w:val="single" w:sz="4" w:space="0" w:color="000000"/>
              <w:left w:val="single" w:sz="4" w:space="0" w:color="000000"/>
              <w:bottom w:val="single" w:sz="4" w:space="0" w:color="000000"/>
              <w:right w:val="single" w:sz="4" w:space="0" w:color="000000"/>
            </w:tcBorders>
            <w:shd w:val="clear" w:color="auto" w:fill="D8E4BC"/>
            <w:vAlign w:val="center"/>
            <w:hideMark/>
          </w:tcPr>
          <w:p w14:paraId="6206B814"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Quissac</w:t>
            </w:r>
          </w:p>
        </w:tc>
        <w:tc>
          <w:tcPr>
            <w:tcW w:w="3181" w:type="dxa"/>
            <w:tcBorders>
              <w:top w:val="single" w:sz="4" w:space="0" w:color="000000"/>
              <w:left w:val="single" w:sz="4" w:space="0" w:color="000000"/>
              <w:bottom w:val="single" w:sz="4" w:space="0" w:color="000000"/>
              <w:right w:val="single" w:sz="4" w:space="0" w:color="000000"/>
            </w:tcBorders>
            <w:shd w:val="clear" w:color="auto" w:fill="D8E4BC"/>
            <w:vAlign w:val="center"/>
            <w:hideMark/>
          </w:tcPr>
          <w:p w14:paraId="36D0C8C8"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190 727,32</w:t>
            </w:r>
          </w:p>
        </w:tc>
        <w:tc>
          <w:tcPr>
            <w:tcW w:w="3340" w:type="dxa"/>
            <w:tcBorders>
              <w:top w:val="single" w:sz="4" w:space="0" w:color="000000"/>
              <w:left w:val="single" w:sz="4" w:space="0" w:color="000000"/>
              <w:bottom w:val="single" w:sz="4" w:space="0" w:color="000000"/>
              <w:right w:val="single" w:sz="4" w:space="0" w:color="000000"/>
            </w:tcBorders>
            <w:shd w:val="clear" w:color="auto" w:fill="D8E4BC"/>
            <w:vAlign w:val="center"/>
            <w:hideMark/>
          </w:tcPr>
          <w:p w14:paraId="02B3819E"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190 727,32</w:t>
            </w:r>
          </w:p>
        </w:tc>
      </w:tr>
      <w:tr w:rsidR="0015099D" w14:paraId="492F7120"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4211C934"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Sardan</w:t>
            </w:r>
          </w:p>
        </w:tc>
        <w:tc>
          <w:tcPr>
            <w:tcW w:w="3181" w:type="dxa"/>
            <w:tcBorders>
              <w:top w:val="nil"/>
              <w:left w:val="single" w:sz="8" w:space="0" w:color="000000"/>
              <w:bottom w:val="single" w:sz="4" w:space="0" w:color="000000"/>
              <w:right w:val="nil"/>
            </w:tcBorders>
            <w:vAlign w:val="center"/>
            <w:hideMark/>
          </w:tcPr>
          <w:p w14:paraId="3F60B259"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-1 857,65</w:t>
            </w:r>
          </w:p>
        </w:tc>
        <w:tc>
          <w:tcPr>
            <w:tcW w:w="3340" w:type="dxa"/>
            <w:tcBorders>
              <w:top w:val="nil"/>
              <w:left w:val="single" w:sz="12" w:space="0" w:color="0070C0"/>
              <w:bottom w:val="single" w:sz="4" w:space="0" w:color="000000"/>
              <w:right w:val="single" w:sz="12" w:space="0" w:color="0070C0"/>
            </w:tcBorders>
            <w:vAlign w:val="center"/>
            <w:hideMark/>
          </w:tcPr>
          <w:p w14:paraId="7BA6CDBB"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-1 857,65</w:t>
            </w:r>
          </w:p>
        </w:tc>
      </w:tr>
      <w:tr w:rsidR="0015099D" w14:paraId="62A4DD45" w14:textId="77777777" w:rsidTr="0015099D">
        <w:trPr>
          <w:trHeight w:val="336"/>
        </w:trPr>
        <w:tc>
          <w:tcPr>
            <w:tcW w:w="3819" w:type="dxa"/>
            <w:tcBorders>
              <w:top w:val="single" w:sz="4" w:space="0" w:color="000000"/>
              <w:left w:val="single" w:sz="4" w:space="0" w:color="000000"/>
              <w:bottom w:val="single" w:sz="4" w:space="0" w:color="000000"/>
              <w:right w:val="single" w:sz="4" w:space="0" w:color="000000"/>
            </w:tcBorders>
            <w:shd w:val="clear" w:color="auto" w:fill="D8E4BC"/>
            <w:vAlign w:val="center"/>
            <w:hideMark/>
          </w:tcPr>
          <w:p w14:paraId="3C13AB92" w14:textId="77777777" w:rsidR="0015099D" w:rsidRDefault="0015099D">
            <w:pPr>
              <w:suppressAutoHyphens/>
              <w:spacing w:line="256" w:lineRule="auto"/>
              <w:jc w:val="center"/>
              <w:rPr>
                <w:rFonts w:ascii="Gotham Light" w:eastAsia="Aptos" w:hAnsi="Gotham Light"/>
                <w:b/>
                <w:bCs/>
                <w:kern w:val="2"/>
                <w:sz w:val="26"/>
                <w:szCs w:val="26"/>
                <w:lang w:eastAsia="en-US"/>
                <w14:ligatures w14:val="standardContextual"/>
              </w:rPr>
            </w:pPr>
            <w:r>
              <w:rPr>
                <w:rFonts w:ascii="Gotham Light" w:eastAsia="Aptos" w:hAnsi="Gotham Light"/>
                <w:b/>
                <w:bCs/>
                <w:kern w:val="2"/>
                <w:sz w:val="26"/>
                <w:szCs w:val="26"/>
                <w:lang w:eastAsia="en-US"/>
                <w14:ligatures w14:val="standardContextual"/>
              </w:rPr>
              <w:t>Sauve</w:t>
            </w:r>
          </w:p>
        </w:tc>
        <w:tc>
          <w:tcPr>
            <w:tcW w:w="3181" w:type="dxa"/>
            <w:tcBorders>
              <w:top w:val="single" w:sz="4" w:space="0" w:color="000000"/>
              <w:left w:val="single" w:sz="4" w:space="0" w:color="000000"/>
              <w:bottom w:val="single" w:sz="4" w:space="0" w:color="000000"/>
              <w:right w:val="single" w:sz="4" w:space="0" w:color="000000"/>
            </w:tcBorders>
            <w:shd w:val="clear" w:color="auto" w:fill="D8E4BC"/>
            <w:vAlign w:val="center"/>
            <w:hideMark/>
          </w:tcPr>
          <w:p w14:paraId="59A9DCCD" w14:textId="77777777" w:rsidR="0015099D" w:rsidRDefault="0015099D">
            <w:pPr>
              <w:suppressAutoHyphens/>
              <w:spacing w:line="256" w:lineRule="auto"/>
              <w:jc w:val="right"/>
              <w:rPr>
                <w:rFonts w:ascii="Gotham Light" w:eastAsia="Aptos" w:hAnsi="Gotham Light"/>
                <w:b/>
                <w:bCs/>
                <w:color w:val="000000"/>
                <w:kern w:val="2"/>
                <w:sz w:val="24"/>
                <w:szCs w:val="24"/>
                <w:lang w:eastAsia="en-US"/>
                <w14:ligatures w14:val="standardContextual"/>
              </w:rPr>
            </w:pPr>
            <w:r>
              <w:rPr>
                <w:rFonts w:ascii="Gotham Light" w:eastAsia="Aptos" w:hAnsi="Gotham Light"/>
                <w:b/>
                <w:bCs/>
                <w:color w:val="000000"/>
                <w:kern w:val="2"/>
                <w:sz w:val="24"/>
                <w:szCs w:val="24"/>
                <w:lang w:eastAsia="en-US"/>
                <w14:ligatures w14:val="standardContextual"/>
              </w:rPr>
              <w:t>76 623,59</w:t>
            </w:r>
          </w:p>
        </w:tc>
        <w:tc>
          <w:tcPr>
            <w:tcW w:w="3340" w:type="dxa"/>
            <w:tcBorders>
              <w:top w:val="single" w:sz="4" w:space="0" w:color="000000"/>
              <w:left w:val="single" w:sz="4" w:space="0" w:color="000000"/>
              <w:bottom w:val="single" w:sz="4" w:space="0" w:color="000000"/>
              <w:right w:val="single" w:sz="4" w:space="0" w:color="000000"/>
            </w:tcBorders>
            <w:shd w:val="clear" w:color="auto" w:fill="D8E4BC"/>
            <w:vAlign w:val="center"/>
            <w:hideMark/>
          </w:tcPr>
          <w:p w14:paraId="6488795D" w14:textId="77777777" w:rsidR="0015099D" w:rsidRDefault="0015099D">
            <w:pPr>
              <w:suppressAutoHyphens/>
              <w:spacing w:line="256" w:lineRule="auto"/>
              <w:jc w:val="right"/>
              <w:rPr>
                <w:rFonts w:ascii="Gotham Light" w:eastAsia="Aptos" w:hAnsi="Gotham Light"/>
                <w:b/>
                <w:bCs/>
                <w:color w:val="000000"/>
                <w:kern w:val="2"/>
                <w:sz w:val="24"/>
                <w:szCs w:val="24"/>
                <w:lang w:eastAsia="en-US"/>
                <w14:ligatures w14:val="standardContextual"/>
              </w:rPr>
            </w:pPr>
            <w:r>
              <w:rPr>
                <w:rFonts w:ascii="Gotham Light" w:eastAsia="Aptos" w:hAnsi="Gotham Light"/>
                <w:b/>
                <w:bCs/>
                <w:color w:val="000000"/>
                <w:kern w:val="2"/>
                <w:sz w:val="24"/>
                <w:szCs w:val="24"/>
                <w:lang w:eastAsia="en-US"/>
                <w14:ligatures w14:val="standardContextual"/>
              </w:rPr>
              <w:t>138 283,37</w:t>
            </w:r>
          </w:p>
        </w:tc>
      </w:tr>
      <w:tr w:rsidR="0015099D" w14:paraId="2C7E6552" w14:textId="77777777" w:rsidTr="0015099D">
        <w:trPr>
          <w:trHeight w:val="336"/>
        </w:trPr>
        <w:tc>
          <w:tcPr>
            <w:tcW w:w="3819" w:type="dxa"/>
            <w:tcBorders>
              <w:top w:val="nil"/>
              <w:left w:val="single" w:sz="8" w:space="0" w:color="000000"/>
              <w:bottom w:val="single" w:sz="4" w:space="0" w:color="000000"/>
              <w:right w:val="nil"/>
            </w:tcBorders>
            <w:vAlign w:val="center"/>
            <w:hideMark/>
          </w:tcPr>
          <w:p w14:paraId="69C97CE6"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Savignargues</w:t>
            </w:r>
          </w:p>
        </w:tc>
        <w:tc>
          <w:tcPr>
            <w:tcW w:w="3181" w:type="dxa"/>
            <w:tcBorders>
              <w:top w:val="nil"/>
              <w:left w:val="single" w:sz="8" w:space="0" w:color="000000"/>
              <w:bottom w:val="single" w:sz="4" w:space="0" w:color="000000"/>
              <w:right w:val="nil"/>
            </w:tcBorders>
            <w:vAlign w:val="center"/>
            <w:hideMark/>
          </w:tcPr>
          <w:p w14:paraId="71C985C7"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-750,98</w:t>
            </w:r>
          </w:p>
        </w:tc>
        <w:tc>
          <w:tcPr>
            <w:tcW w:w="3340" w:type="dxa"/>
            <w:tcBorders>
              <w:top w:val="nil"/>
              <w:left w:val="single" w:sz="12" w:space="0" w:color="0070C0"/>
              <w:bottom w:val="single" w:sz="4" w:space="0" w:color="000000"/>
              <w:right w:val="single" w:sz="12" w:space="0" w:color="0070C0"/>
            </w:tcBorders>
            <w:vAlign w:val="center"/>
            <w:hideMark/>
          </w:tcPr>
          <w:p w14:paraId="5B1E17A8"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-750,98</w:t>
            </w:r>
          </w:p>
        </w:tc>
      </w:tr>
      <w:tr w:rsidR="0015099D" w14:paraId="1129A1BC" w14:textId="77777777" w:rsidTr="0015099D">
        <w:trPr>
          <w:trHeight w:val="348"/>
        </w:trPr>
        <w:tc>
          <w:tcPr>
            <w:tcW w:w="3819" w:type="dxa"/>
            <w:tcBorders>
              <w:top w:val="nil"/>
              <w:left w:val="single" w:sz="8" w:space="0" w:color="000000"/>
              <w:bottom w:val="single" w:sz="4" w:space="0" w:color="000000"/>
              <w:right w:val="nil"/>
            </w:tcBorders>
            <w:shd w:val="clear" w:color="auto" w:fill="D8E4BC"/>
            <w:vAlign w:val="center"/>
            <w:hideMark/>
          </w:tcPr>
          <w:p w14:paraId="0801B3BD"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St Bénézet</w:t>
            </w:r>
          </w:p>
        </w:tc>
        <w:tc>
          <w:tcPr>
            <w:tcW w:w="3181" w:type="dxa"/>
            <w:tcBorders>
              <w:top w:val="nil"/>
              <w:left w:val="single" w:sz="8" w:space="0" w:color="000000"/>
              <w:bottom w:val="single" w:sz="4" w:space="0" w:color="000000"/>
              <w:right w:val="nil"/>
            </w:tcBorders>
            <w:shd w:val="clear" w:color="auto" w:fill="D8E4BC"/>
            <w:vAlign w:val="center"/>
            <w:hideMark/>
          </w:tcPr>
          <w:p w14:paraId="44590EEF"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-2 007,99</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279EC649"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-2 007,99</w:t>
            </w:r>
          </w:p>
        </w:tc>
      </w:tr>
      <w:tr w:rsidR="0015099D" w14:paraId="7452C45E" w14:textId="77777777" w:rsidTr="0015099D">
        <w:trPr>
          <w:trHeight w:val="348"/>
        </w:trPr>
        <w:tc>
          <w:tcPr>
            <w:tcW w:w="3819" w:type="dxa"/>
            <w:tcBorders>
              <w:top w:val="nil"/>
              <w:left w:val="single" w:sz="8" w:space="0" w:color="000000"/>
              <w:bottom w:val="single" w:sz="4" w:space="0" w:color="000000"/>
              <w:right w:val="nil"/>
            </w:tcBorders>
            <w:vAlign w:val="center"/>
            <w:hideMark/>
          </w:tcPr>
          <w:p w14:paraId="052E5A27"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St Félix de Pallières</w:t>
            </w:r>
          </w:p>
        </w:tc>
        <w:tc>
          <w:tcPr>
            <w:tcW w:w="3181" w:type="dxa"/>
            <w:tcBorders>
              <w:top w:val="nil"/>
              <w:left w:val="single" w:sz="8" w:space="0" w:color="000000"/>
              <w:bottom w:val="single" w:sz="4" w:space="0" w:color="000000"/>
              <w:right w:val="nil"/>
            </w:tcBorders>
            <w:vAlign w:val="center"/>
            <w:hideMark/>
          </w:tcPr>
          <w:p w14:paraId="5E454E20"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31 649,20</w:t>
            </w:r>
          </w:p>
        </w:tc>
        <w:tc>
          <w:tcPr>
            <w:tcW w:w="3340" w:type="dxa"/>
            <w:tcBorders>
              <w:top w:val="nil"/>
              <w:left w:val="single" w:sz="12" w:space="0" w:color="0070C0"/>
              <w:bottom w:val="single" w:sz="4" w:space="0" w:color="000000"/>
              <w:right w:val="single" w:sz="12" w:space="0" w:color="0070C0"/>
            </w:tcBorders>
            <w:vAlign w:val="center"/>
            <w:hideMark/>
          </w:tcPr>
          <w:p w14:paraId="23D3182A"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31 649,20</w:t>
            </w:r>
          </w:p>
        </w:tc>
      </w:tr>
      <w:tr w:rsidR="0015099D" w14:paraId="6B3A3F56" w14:textId="77777777" w:rsidTr="0015099D">
        <w:trPr>
          <w:trHeight w:val="336"/>
        </w:trPr>
        <w:tc>
          <w:tcPr>
            <w:tcW w:w="3819" w:type="dxa"/>
            <w:tcBorders>
              <w:top w:val="nil"/>
              <w:left w:val="single" w:sz="8" w:space="0" w:color="000000"/>
              <w:bottom w:val="single" w:sz="4" w:space="0" w:color="000000"/>
              <w:right w:val="nil"/>
            </w:tcBorders>
            <w:shd w:val="clear" w:color="auto" w:fill="D8E4BC"/>
            <w:vAlign w:val="center"/>
            <w:hideMark/>
          </w:tcPr>
          <w:p w14:paraId="2644446F"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St Hippolyte du Fort</w:t>
            </w:r>
          </w:p>
        </w:tc>
        <w:tc>
          <w:tcPr>
            <w:tcW w:w="3181" w:type="dxa"/>
            <w:tcBorders>
              <w:top w:val="nil"/>
              <w:left w:val="single" w:sz="8" w:space="0" w:color="000000"/>
              <w:bottom w:val="single" w:sz="4" w:space="0" w:color="000000"/>
              <w:right w:val="nil"/>
            </w:tcBorders>
            <w:shd w:val="clear" w:color="auto" w:fill="DAF2D0"/>
            <w:vAlign w:val="center"/>
            <w:hideMark/>
          </w:tcPr>
          <w:p w14:paraId="24021A96"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750 206,28</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7FC2B22C"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750 206,28</w:t>
            </w:r>
          </w:p>
        </w:tc>
      </w:tr>
      <w:tr w:rsidR="0015099D" w14:paraId="6F3869F4" w14:textId="77777777" w:rsidTr="0015099D">
        <w:trPr>
          <w:trHeight w:val="336"/>
        </w:trPr>
        <w:tc>
          <w:tcPr>
            <w:tcW w:w="3819" w:type="dxa"/>
            <w:tcBorders>
              <w:top w:val="nil"/>
              <w:left w:val="single" w:sz="8" w:space="0" w:color="000000"/>
              <w:bottom w:val="nil"/>
              <w:right w:val="nil"/>
            </w:tcBorders>
            <w:vAlign w:val="center"/>
            <w:hideMark/>
          </w:tcPr>
          <w:p w14:paraId="349CC21A"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St Jean de Crieulon</w:t>
            </w:r>
          </w:p>
        </w:tc>
        <w:tc>
          <w:tcPr>
            <w:tcW w:w="3181" w:type="dxa"/>
            <w:tcBorders>
              <w:top w:val="nil"/>
              <w:left w:val="single" w:sz="8" w:space="0" w:color="000000"/>
              <w:bottom w:val="single" w:sz="4" w:space="0" w:color="000000"/>
              <w:right w:val="nil"/>
            </w:tcBorders>
            <w:vAlign w:val="center"/>
            <w:hideMark/>
          </w:tcPr>
          <w:p w14:paraId="7CCF1CA9"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-989,10</w:t>
            </w:r>
          </w:p>
        </w:tc>
        <w:tc>
          <w:tcPr>
            <w:tcW w:w="3340" w:type="dxa"/>
            <w:tcBorders>
              <w:top w:val="nil"/>
              <w:left w:val="single" w:sz="12" w:space="0" w:color="0070C0"/>
              <w:bottom w:val="single" w:sz="4" w:space="0" w:color="000000"/>
              <w:right w:val="single" w:sz="12" w:space="0" w:color="0070C0"/>
            </w:tcBorders>
            <w:vAlign w:val="center"/>
            <w:hideMark/>
          </w:tcPr>
          <w:p w14:paraId="308B6898"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-989,10</w:t>
            </w:r>
          </w:p>
        </w:tc>
      </w:tr>
      <w:tr w:rsidR="0015099D" w14:paraId="5D1E0927" w14:textId="77777777" w:rsidTr="0015099D">
        <w:trPr>
          <w:trHeight w:val="336"/>
        </w:trPr>
        <w:tc>
          <w:tcPr>
            <w:tcW w:w="3819" w:type="dxa"/>
            <w:tcBorders>
              <w:top w:val="single" w:sz="4" w:space="0" w:color="000000"/>
              <w:left w:val="single" w:sz="8" w:space="0" w:color="000000"/>
              <w:bottom w:val="nil"/>
              <w:right w:val="nil"/>
            </w:tcBorders>
            <w:shd w:val="clear" w:color="auto" w:fill="D8E4BC"/>
            <w:vAlign w:val="center"/>
            <w:hideMark/>
          </w:tcPr>
          <w:p w14:paraId="6245B491"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St Nazaire des Gardies</w:t>
            </w:r>
          </w:p>
        </w:tc>
        <w:tc>
          <w:tcPr>
            <w:tcW w:w="3181" w:type="dxa"/>
            <w:tcBorders>
              <w:top w:val="nil"/>
              <w:left w:val="single" w:sz="8" w:space="0" w:color="000000"/>
              <w:bottom w:val="single" w:sz="4" w:space="0" w:color="000000"/>
              <w:right w:val="nil"/>
            </w:tcBorders>
            <w:shd w:val="clear" w:color="auto" w:fill="D8E4BC"/>
            <w:vAlign w:val="center"/>
            <w:hideMark/>
          </w:tcPr>
          <w:p w14:paraId="272D137E"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1 998,58</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07518312"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1 998,58</w:t>
            </w:r>
          </w:p>
        </w:tc>
      </w:tr>
      <w:tr w:rsidR="0015099D" w14:paraId="6AE4C4BD" w14:textId="77777777" w:rsidTr="0015099D">
        <w:trPr>
          <w:trHeight w:val="336"/>
        </w:trPr>
        <w:tc>
          <w:tcPr>
            <w:tcW w:w="3819" w:type="dxa"/>
            <w:tcBorders>
              <w:top w:val="single" w:sz="4" w:space="0" w:color="000000"/>
              <w:left w:val="single" w:sz="8" w:space="0" w:color="000000"/>
              <w:bottom w:val="nil"/>
              <w:right w:val="nil"/>
            </w:tcBorders>
            <w:vAlign w:val="center"/>
            <w:hideMark/>
          </w:tcPr>
          <w:p w14:paraId="6451FF2C"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St Théodorit</w:t>
            </w:r>
          </w:p>
        </w:tc>
        <w:tc>
          <w:tcPr>
            <w:tcW w:w="3181" w:type="dxa"/>
            <w:tcBorders>
              <w:top w:val="nil"/>
              <w:left w:val="single" w:sz="8" w:space="0" w:color="000000"/>
              <w:bottom w:val="single" w:sz="4" w:space="0" w:color="000000"/>
              <w:right w:val="nil"/>
            </w:tcBorders>
            <w:vAlign w:val="center"/>
            <w:hideMark/>
          </w:tcPr>
          <w:p w14:paraId="38B72B4D"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861,00</w:t>
            </w:r>
          </w:p>
        </w:tc>
        <w:tc>
          <w:tcPr>
            <w:tcW w:w="3340" w:type="dxa"/>
            <w:tcBorders>
              <w:top w:val="nil"/>
              <w:left w:val="single" w:sz="12" w:space="0" w:color="0070C0"/>
              <w:bottom w:val="single" w:sz="4" w:space="0" w:color="000000"/>
              <w:right w:val="single" w:sz="12" w:space="0" w:color="0070C0"/>
            </w:tcBorders>
            <w:vAlign w:val="center"/>
            <w:hideMark/>
          </w:tcPr>
          <w:p w14:paraId="66050D86"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861,00</w:t>
            </w:r>
          </w:p>
        </w:tc>
      </w:tr>
      <w:tr w:rsidR="0015099D" w14:paraId="288FAF31" w14:textId="77777777" w:rsidTr="0015099D">
        <w:trPr>
          <w:trHeight w:val="348"/>
        </w:trPr>
        <w:tc>
          <w:tcPr>
            <w:tcW w:w="3819" w:type="dxa"/>
            <w:tcBorders>
              <w:top w:val="single" w:sz="4" w:space="0" w:color="000000"/>
              <w:left w:val="single" w:sz="8" w:space="0" w:color="000000"/>
              <w:bottom w:val="nil"/>
              <w:right w:val="nil"/>
            </w:tcBorders>
            <w:shd w:val="clear" w:color="auto" w:fill="D8E4BC"/>
            <w:vAlign w:val="center"/>
            <w:hideMark/>
          </w:tcPr>
          <w:p w14:paraId="655C788D" w14:textId="77777777" w:rsidR="0015099D" w:rsidRDefault="0015099D">
            <w:pPr>
              <w:suppressAutoHyphens/>
              <w:spacing w:line="256" w:lineRule="auto"/>
              <w:jc w:val="center"/>
              <w:rPr>
                <w:rFonts w:ascii="Gotham Light" w:eastAsia="Aptos" w:hAnsi="Gotham Light"/>
                <w:kern w:val="2"/>
                <w:sz w:val="26"/>
                <w:szCs w:val="26"/>
                <w:lang w:eastAsia="en-US"/>
                <w14:ligatures w14:val="standardContextual"/>
              </w:rPr>
            </w:pPr>
            <w:r>
              <w:rPr>
                <w:rFonts w:ascii="Gotham Light" w:eastAsia="Aptos" w:hAnsi="Gotham Light"/>
                <w:kern w:val="2"/>
                <w:sz w:val="26"/>
                <w:szCs w:val="26"/>
                <w:lang w:eastAsia="en-US"/>
                <w14:ligatures w14:val="standardContextual"/>
              </w:rPr>
              <w:t xml:space="preserve">Vic le Fesq </w:t>
            </w:r>
          </w:p>
        </w:tc>
        <w:tc>
          <w:tcPr>
            <w:tcW w:w="3181" w:type="dxa"/>
            <w:tcBorders>
              <w:top w:val="nil"/>
              <w:left w:val="single" w:sz="8" w:space="0" w:color="000000"/>
              <w:bottom w:val="single" w:sz="4" w:space="0" w:color="000000"/>
              <w:right w:val="nil"/>
            </w:tcBorders>
            <w:shd w:val="clear" w:color="auto" w:fill="D8E4BC"/>
            <w:vAlign w:val="center"/>
            <w:hideMark/>
          </w:tcPr>
          <w:p w14:paraId="278996A9"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9 271,08</w:t>
            </w:r>
          </w:p>
        </w:tc>
        <w:tc>
          <w:tcPr>
            <w:tcW w:w="3340" w:type="dxa"/>
            <w:tcBorders>
              <w:top w:val="nil"/>
              <w:left w:val="single" w:sz="12" w:space="0" w:color="0070C0"/>
              <w:bottom w:val="single" w:sz="4" w:space="0" w:color="000000"/>
              <w:right w:val="single" w:sz="12" w:space="0" w:color="0070C0"/>
            </w:tcBorders>
            <w:shd w:val="clear" w:color="auto" w:fill="D8E4BC"/>
            <w:vAlign w:val="center"/>
            <w:hideMark/>
          </w:tcPr>
          <w:p w14:paraId="64659846" w14:textId="77777777" w:rsidR="0015099D" w:rsidRDefault="0015099D">
            <w:pPr>
              <w:suppressAutoHyphens/>
              <w:spacing w:line="256" w:lineRule="auto"/>
              <w:jc w:val="right"/>
              <w:rPr>
                <w:rFonts w:ascii="Gotham Light" w:eastAsia="Aptos" w:hAnsi="Gotham Light"/>
                <w:color w:val="000000"/>
                <w:kern w:val="2"/>
                <w:sz w:val="24"/>
                <w:szCs w:val="24"/>
                <w:lang w:eastAsia="en-US"/>
                <w14:ligatures w14:val="standardContextual"/>
              </w:rPr>
            </w:pPr>
            <w:r>
              <w:rPr>
                <w:rFonts w:ascii="Gotham Light" w:eastAsia="Aptos" w:hAnsi="Gotham Light"/>
                <w:color w:val="000000"/>
                <w:kern w:val="2"/>
                <w:sz w:val="24"/>
                <w:szCs w:val="24"/>
                <w:lang w:eastAsia="en-US"/>
                <w14:ligatures w14:val="standardContextual"/>
              </w:rPr>
              <w:t>9 271,08</w:t>
            </w:r>
          </w:p>
        </w:tc>
      </w:tr>
      <w:tr w:rsidR="0015099D" w14:paraId="0AF36C3A" w14:textId="77777777" w:rsidTr="0015099D">
        <w:trPr>
          <w:trHeight w:val="324"/>
        </w:trPr>
        <w:tc>
          <w:tcPr>
            <w:tcW w:w="3819" w:type="dxa"/>
            <w:tcBorders>
              <w:top w:val="single" w:sz="8" w:space="0" w:color="000000"/>
              <w:left w:val="single" w:sz="8" w:space="0" w:color="000000"/>
              <w:bottom w:val="single" w:sz="8" w:space="0" w:color="000000"/>
              <w:right w:val="single" w:sz="8" w:space="0" w:color="000000"/>
            </w:tcBorders>
            <w:vAlign w:val="center"/>
            <w:hideMark/>
          </w:tcPr>
          <w:p w14:paraId="2B40A4A6" w14:textId="77777777" w:rsidR="0015099D" w:rsidRDefault="0015099D">
            <w:pPr>
              <w:suppressAutoHyphens/>
              <w:spacing w:line="256" w:lineRule="auto"/>
              <w:jc w:val="center"/>
              <w:rPr>
                <w:rFonts w:ascii="Gotham Light" w:eastAsia="Aptos" w:hAnsi="Gotham Light"/>
                <w:b/>
                <w:bCs/>
                <w:kern w:val="2"/>
                <w:sz w:val="24"/>
                <w:szCs w:val="24"/>
                <w:lang w:eastAsia="en-US"/>
                <w14:ligatures w14:val="standardContextual"/>
              </w:rPr>
            </w:pPr>
            <w:r>
              <w:rPr>
                <w:rFonts w:ascii="Gotham Light" w:eastAsia="Aptos" w:hAnsi="Gotham Light"/>
                <w:b/>
                <w:bCs/>
                <w:kern w:val="2"/>
                <w:sz w:val="24"/>
                <w:szCs w:val="24"/>
                <w:lang w:eastAsia="en-US"/>
                <w14:ligatures w14:val="standardContextual"/>
              </w:rPr>
              <w:t>TOTAL</w:t>
            </w:r>
          </w:p>
        </w:tc>
        <w:tc>
          <w:tcPr>
            <w:tcW w:w="3181" w:type="dxa"/>
            <w:tcBorders>
              <w:top w:val="single" w:sz="8" w:space="0" w:color="000000"/>
              <w:left w:val="nil"/>
              <w:bottom w:val="single" w:sz="12" w:space="0" w:color="0070C0"/>
              <w:right w:val="nil"/>
            </w:tcBorders>
            <w:vAlign w:val="center"/>
            <w:hideMark/>
          </w:tcPr>
          <w:p w14:paraId="69F93078" w14:textId="77777777" w:rsidR="0015099D" w:rsidRDefault="0015099D">
            <w:pPr>
              <w:suppressAutoHyphens/>
              <w:spacing w:line="256" w:lineRule="auto"/>
              <w:jc w:val="right"/>
              <w:rPr>
                <w:rFonts w:ascii="Gotham Light" w:eastAsia="Aptos" w:hAnsi="Gotham Light"/>
                <w:b/>
                <w:bCs/>
                <w:color w:val="000000"/>
                <w:kern w:val="2"/>
                <w:sz w:val="24"/>
                <w:szCs w:val="24"/>
                <w:lang w:eastAsia="en-US"/>
                <w14:ligatures w14:val="standardContextual"/>
              </w:rPr>
            </w:pPr>
            <w:r>
              <w:rPr>
                <w:rFonts w:ascii="Gotham Light" w:eastAsia="Aptos" w:hAnsi="Gotham Light"/>
                <w:b/>
                <w:bCs/>
                <w:color w:val="000000"/>
                <w:kern w:val="2"/>
                <w:sz w:val="24"/>
                <w:szCs w:val="24"/>
                <w:lang w:eastAsia="en-US"/>
                <w14:ligatures w14:val="standardContextual"/>
              </w:rPr>
              <w:t>1 639 788,26</w:t>
            </w:r>
          </w:p>
        </w:tc>
        <w:tc>
          <w:tcPr>
            <w:tcW w:w="3340" w:type="dxa"/>
            <w:tcBorders>
              <w:top w:val="single" w:sz="8" w:space="0" w:color="000000"/>
              <w:left w:val="single" w:sz="12" w:space="0" w:color="0070C0"/>
              <w:bottom w:val="single" w:sz="12" w:space="0" w:color="0070C0"/>
              <w:right w:val="single" w:sz="12" w:space="0" w:color="0070C0"/>
            </w:tcBorders>
            <w:vAlign w:val="center"/>
            <w:hideMark/>
          </w:tcPr>
          <w:p w14:paraId="17C56654" w14:textId="77777777" w:rsidR="0015099D" w:rsidRDefault="0015099D">
            <w:pPr>
              <w:suppressAutoHyphens/>
              <w:spacing w:line="256" w:lineRule="auto"/>
              <w:jc w:val="right"/>
              <w:rPr>
                <w:rFonts w:ascii="Gotham Light" w:eastAsia="Aptos" w:hAnsi="Gotham Light"/>
                <w:b/>
                <w:bCs/>
                <w:color w:val="000000"/>
                <w:kern w:val="2"/>
                <w:sz w:val="24"/>
                <w:szCs w:val="24"/>
                <w:lang w:eastAsia="en-US"/>
                <w14:ligatures w14:val="standardContextual"/>
              </w:rPr>
            </w:pPr>
            <w:r>
              <w:rPr>
                <w:rFonts w:ascii="Gotham Light" w:eastAsia="Aptos" w:hAnsi="Gotham Light"/>
                <w:b/>
                <w:bCs/>
                <w:color w:val="000000"/>
                <w:kern w:val="2"/>
                <w:sz w:val="24"/>
                <w:szCs w:val="24"/>
                <w:lang w:eastAsia="en-US"/>
                <w14:ligatures w14:val="standardContextual"/>
              </w:rPr>
              <w:t>1 701 448,04</w:t>
            </w:r>
          </w:p>
        </w:tc>
      </w:tr>
    </w:tbl>
    <w:p w14:paraId="378B9A07" w14:textId="77777777" w:rsidR="0015099D" w:rsidRDefault="0015099D" w:rsidP="0015099D"/>
    <w:p w14:paraId="01A0D7C9" w14:textId="77777777" w:rsidR="0015099D" w:rsidRDefault="0015099D" w:rsidP="0015099D">
      <w:pPr>
        <w:jc w:val="both"/>
        <w:rPr>
          <w:rFonts w:ascii="Arial" w:hAnsi="Arial" w:cs="Arial"/>
          <w:b/>
          <w:bCs/>
          <w:sz w:val="24"/>
          <w:szCs w:val="24"/>
          <w:u w:val="single"/>
        </w:rPr>
      </w:pPr>
      <w:r>
        <w:rPr>
          <w:rFonts w:ascii="Arial" w:hAnsi="Arial" w:cs="Arial"/>
          <w:b/>
          <w:bCs/>
          <w:sz w:val="24"/>
          <w:szCs w:val="24"/>
          <w:u w:val="single"/>
        </w:rPr>
        <w:t>004 – DEPENSES A IMPUTER AU COMPTE 623</w:t>
      </w:r>
    </w:p>
    <w:p w14:paraId="1282FA50" w14:textId="77777777" w:rsidR="0015099D" w:rsidRDefault="0015099D" w:rsidP="0015099D">
      <w:pPr>
        <w:jc w:val="both"/>
        <w:rPr>
          <w:rFonts w:ascii="Arial" w:hAnsi="Arial" w:cs="Arial"/>
        </w:rPr>
      </w:pPr>
      <w:r>
        <w:rPr>
          <w:rFonts w:ascii="Arial" w:hAnsi="Arial" w:cs="Arial"/>
        </w:rPr>
        <w:t>Monsieur le Maire informe le Conseil Municipal que le Décret n°2012-1246 du 7 novembre 2012 fixe la liste des pièces justificatives exigées par le comptable public à l’appui des mandats de paiement émis pour le règlement des dépenses publiques ;</w:t>
      </w:r>
    </w:p>
    <w:p w14:paraId="45C97CB2" w14:textId="77777777" w:rsidR="0015099D" w:rsidRDefault="0015099D" w:rsidP="0015099D">
      <w:pPr>
        <w:jc w:val="both"/>
        <w:rPr>
          <w:rFonts w:ascii="Arial" w:hAnsi="Arial" w:cs="Arial"/>
        </w:rPr>
      </w:pPr>
      <w:r>
        <w:rPr>
          <w:rFonts w:ascii="Arial" w:hAnsi="Arial" w:cs="Arial"/>
        </w:rPr>
        <w:t>CONSIDERANT la demande Service de gestion comptable de Sud Cévennes faite à la collectivité de préciser les principales caractéristiques des dépenses imputées au compte 623 « Publicité, publications, relations publiques »</w:t>
      </w:r>
    </w:p>
    <w:p w14:paraId="5DC18F64" w14:textId="77777777" w:rsidR="0015099D" w:rsidRDefault="0015099D" w:rsidP="0015099D">
      <w:pPr>
        <w:jc w:val="both"/>
        <w:rPr>
          <w:rFonts w:ascii="Arial" w:hAnsi="Arial" w:cs="Arial"/>
        </w:rPr>
      </w:pPr>
      <w:r>
        <w:rPr>
          <w:rFonts w:ascii="Arial" w:hAnsi="Arial" w:cs="Arial"/>
        </w:rPr>
        <w:t xml:space="preserve">Le Conseil municipal, après délibéré et à l’unanimité des membres présents plus 2 pouvoirs : </w:t>
      </w:r>
    </w:p>
    <w:p w14:paraId="65A6E5DD" w14:textId="77777777" w:rsidR="0015099D" w:rsidRDefault="0015099D" w:rsidP="0015099D">
      <w:pPr>
        <w:jc w:val="both"/>
        <w:rPr>
          <w:rFonts w:ascii="Arial" w:hAnsi="Arial" w:cs="Arial"/>
        </w:rPr>
      </w:pPr>
      <w:r>
        <w:rPr>
          <w:rFonts w:ascii="Arial" w:hAnsi="Arial" w:cs="Arial"/>
          <w:b/>
          <w:bCs/>
        </w:rPr>
        <w:t>DECIDE</w:t>
      </w:r>
      <w:r>
        <w:rPr>
          <w:rFonts w:ascii="Arial" w:hAnsi="Arial" w:cs="Arial"/>
        </w:rPr>
        <w:t xml:space="preserve"> d’imputer sur le compte 623 « Publicité, publications, relations publiques », les dépenses suivantes, dans la limite des crédits ouverts :</w:t>
      </w:r>
    </w:p>
    <w:p w14:paraId="4ECD36C3" w14:textId="77777777" w:rsidR="0015099D" w:rsidRDefault="0015099D" w:rsidP="0015099D">
      <w:pPr>
        <w:numPr>
          <w:ilvl w:val="0"/>
          <w:numId w:val="1"/>
        </w:numPr>
        <w:jc w:val="both"/>
        <w:rPr>
          <w:rFonts w:ascii="Arial" w:hAnsi="Arial" w:cs="Arial"/>
        </w:rPr>
      </w:pPr>
      <w:r>
        <w:rPr>
          <w:rFonts w:ascii="Arial" w:hAnsi="Arial" w:cs="Arial"/>
        </w:rPr>
        <w:t>Les fleurs, gerbes, plantes offertes à l’occasion de divers évènements (naissances, mariages) ;</w:t>
      </w:r>
    </w:p>
    <w:p w14:paraId="31BAAAC3" w14:textId="77777777" w:rsidR="0015099D" w:rsidRDefault="0015099D" w:rsidP="0015099D">
      <w:pPr>
        <w:numPr>
          <w:ilvl w:val="0"/>
          <w:numId w:val="1"/>
        </w:numPr>
        <w:jc w:val="both"/>
        <w:rPr>
          <w:rFonts w:ascii="Arial" w:hAnsi="Arial" w:cs="Arial"/>
        </w:rPr>
      </w:pPr>
      <w:r>
        <w:rPr>
          <w:rFonts w:ascii="Arial" w:hAnsi="Arial" w:cs="Arial"/>
        </w:rPr>
        <w:t>D’une manière générale les services, les achats ayant trait aux fêtes et cérémonies, les inaugurations, les vœux du Maire, les colis des Ainés, le repas offert aux habitants de la commune ;</w:t>
      </w:r>
    </w:p>
    <w:p w14:paraId="6135BF19" w14:textId="77777777" w:rsidR="0015099D" w:rsidRDefault="0015099D" w:rsidP="0015099D">
      <w:pPr>
        <w:numPr>
          <w:ilvl w:val="0"/>
          <w:numId w:val="1"/>
        </w:numPr>
        <w:jc w:val="both"/>
        <w:rPr>
          <w:rFonts w:ascii="Arial" w:hAnsi="Arial" w:cs="Arial"/>
        </w:rPr>
      </w:pPr>
      <w:r>
        <w:rPr>
          <w:rFonts w:ascii="Arial" w:hAnsi="Arial" w:cs="Arial"/>
        </w:rPr>
        <w:t>L’impression des bulletins municipaux ;</w:t>
      </w:r>
    </w:p>
    <w:p w14:paraId="65F10E20" w14:textId="77777777" w:rsidR="0015099D" w:rsidRDefault="0015099D" w:rsidP="0015099D">
      <w:pPr>
        <w:numPr>
          <w:ilvl w:val="0"/>
          <w:numId w:val="1"/>
        </w:numPr>
        <w:jc w:val="both"/>
        <w:rPr>
          <w:rFonts w:ascii="Arial" w:hAnsi="Arial" w:cs="Arial"/>
        </w:rPr>
      </w:pPr>
      <w:r>
        <w:rPr>
          <w:rFonts w:ascii="Arial" w:hAnsi="Arial" w:cs="Arial"/>
        </w:rPr>
        <w:t>Frais d’annonce et d’insertion ;</w:t>
      </w:r>
    </w:p>
    <w:p w14:paraId="6BB7DEFA" w14:textId="77777777" w:rsidR="0015099D" w:rsidRDefault="0015099D" w:rsidP="0015099D">
      <w:pPr>
        <w:numPr>
          <w:ilvl w:val="0"/>
          <w:numId w:val="1"/>
        </w:numPr>
        <w:jc w:val="both"/>
        <w:rPr>
          <w:rFonts w:ascii="Arial" w:hAnsi="Arial" w:cs="Arial"/>
        </w:rPr>
      </w:pPr>
      <w:r>
        <w:rPr>
          <w:rFonts w:ascii="Arial" w:hAnsi="Arial" w:cs="Arial"/>
        </w:rPr>
        <w:t xml:space="preserve">Reliure des registres d’état civil.   </w:t>
      </w:r>
    </w:p>
    <w:p w14:paraId="07F2189B" w14:textId="77777777" w:rsidR="0015099D" w:rsidRDefault="0015099D" w:rsidP="0015099D">
      <w:pPr>
        <w:jc w:val="both"/>
        <w:rPr>
          <w:rFonts w:ascii="Arial" w:hAnsi="Arial" w:cs="Arial"/>
        </w:rPr>
      </w:pPr>
    </w:p>
    <w:p w14:paraId="6DA6A87B" w14:textId="77777777" w:rsidR="0015099D" w:rsidRDefault="0015099D" w:rsidP="0015099D">
      <w:pPr>
        <w:jc w:val="both"/>
        <w:rPr>
          <w:rFonts w:ascii="Arial" w:hAnsi="Arial" w:cs="Arial"/>
        </w:rPr>
      </w:pPr>
    </w:p>
    <w:p w14:paraId="2D9A5D09" w14:textId="77777777" w:rsidR="0015099D" w:rsidRDefault="0015099D" w:rsidP="0015099D">
      <w:pPr>
        <w:rPr>
          <w:rFonts w:ascii="Arial" w:hAnsi="Arial" w:cs="Arial"/>
          <w:b/>
          <w:bCs/>
          <w:sz w:val="24"/>
          <w:szCs w:val="24"/>
          <w:u w:val="single"/>
        </w:rPr>
      </w:pPr>
      <w:r>
        <w:rPr>
          <w:rFonts w:ascii="Arial" w:hAnsi="Arial" w:cs="Arial"/>
          <w:b/>
          <w:bCs/>
          <w:sz w:val="24"/>
          <w:szCs w:val="24"/>
          <w:u w:val="single"/>
        </w:rPr>
        <w:t>005– DELIBERATION POUR AUTORISATION D’ENGAGER DES DEPENSES D’INVESTISSEMENT PAR ANTICIPATION AVANT LE VOTE DU BUDGET PRIMITIF 2025</w:t>
      </w:r>
    </w:p>
    <w:p w14:paraId="15F000E8" w14:textId="77777777" w:rsidR="0015099D" w:rsidRDefault="0015099D" w:rsidP="0015099D">
      <w:pPr>
        <w:rPr>
          <w:rFonts w:ascii="Arial" w:hAnsi="Arial" w:cs="Arial"/>
        </w:rPr>
      </w:pPr>
      <w:r>
        <w:rPr>
          <w:rFonts w:ascii="Arial" w:hAnsi="Arial" w:cs="Arial"/>
        </w:rPr>
        <w:t xml:space="preserve">Il convient de rappeler les dispositions extraites de l’article L 1612-1 du code général des collectivités territoriales : </w:t>
      </w:r>
    </w:p>
    <w:p w14:paraId="335F8791" w14:textId="77777777" w:rsidR="0015099D" w:rsidRDefault="0015099D" w:rsidP="0015099D">
      <w:pPr>
        <w:jc w:val="both"/>
        <w:rPr>
          <w:rFonts w:ascii="Arial" w:hAnsi="Arial" w:cs="Arial"/>
          <w:i/>
          <w:iCs/>
        </w:rPr>
      </w:pPr>
      <w:r>
        <w:rPr>
          <w:rFonts w:ascii="Arial" w:hAnsi="Arial" w:cs="Arial"/>
          <w:i/>
          <w:iCs/>
        </w:rPr>
        <w:t>« Dans le cas où le budget d’une collectivité territoriale n’a pas été adopté avant le 1</w:t>
      </w:r>
      <w:r>
        <w:rPr>
          <w:rFonts w:ascii="Arial" w:hAnsi="Arial" w:cs="Arial"/>
          <w:i/>
          <w:iCs/>
          <w:vertAlign w:val="superscript"/>
        </w:rPr>
        <w:t>er</w:t>
      </w:r>
      <w:r>
        <w:rPr>
          <w:rFonts w:ascii="Arial" w:hAnsi="Arial" w:cs="Arial"/>
          <w:i/>
          <w:iCs/>
        </w:rPr>
        <w:t xml:space="preserve"> 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w:t>
      </w:r>
    </w:p>
    <w:p w14:paraId="5CD57103" w14:textId="77777777" w:rsidR="0015099D" w:rsidRDefault="0015099D" w:rsidP="0015099D">
      <w:pPr>
        <w:jc w:val="both"/>
        <w:rPr>
          <w:rFonts w:ascii="Arial" w:hAnsi="Arial" w:cs="Arial"/>
          <w:i/>
          <w:iCs/>
        </w:rPr>
      </w:pPr>
      <w:r>
        <w:rPr>
          <w:rFonts w:ascii="Arial" w:hAnsi="Arial" w:cs="Arial"/>
          <w:i/>
          <w:iCs/>
        </w:rPr>
        <w:t>Il est en droit de mandater les dépenses afférentes au remboursement en capital des annuités de la dette venant à échéance avant le vote du budget.</w:t>
      </w:r>
    </w:p>
    <w:p w14:paraId="035D7A9A" w14:textId="77777777" w:rsidR="0015099D" w:rsidRDefault="0015099D" w:rsidP="0015099D">
      <w:pPr>
        <w:jc w:val="both"/>
        <w:rPr>
          <w:rFonts w:ascii="Arial" w:hAnsi="Arial" w:cs="Arial"/>
          <w:i/>
          <w:iCs/>
        </w:rPr>
      </w:pPr>
      <w:r>
        <w:rPr>
          <w:rFonts w:ascii="Arial" w:hAnsi="Arial" w:cs="Arial"/>
          <w:i/>
          <w:iCs/>
        </w:rPr>
        <w:t xml:space="preserve">En outre, jusqu’à l’adoption du budget ou jusqu’au 15 avril, en l’absence d’adoption du budget avant cette date, l’exécutif de la collectivité territoriale peut, sur autorisation de l’organe délibérant, engager, liquider et mandater les dépenses d’investissement, dans la limite du </w:t>
      </w:r>
      <w:r>
        <w:rPr>
          <w:rFonts w:ascii="Arial" w:hAnsi="Arial" w:cs="Arial"/>
          <w:i/>
          <w:iCs/>
        </w:rPr>
        <w:lastRenderedPageBreak/>
        <w:t xml:space="preserve">quart des crédits ouverts au budget de l’exercice précédent, non compris les crédits afférents au remboursement de la dette. </w:t>
      </w:r>
    </w:p>
    <w:p w14:paraId="343518BF" w14:textId="77777777" w:rsidR="0015099D" w:rsidRDefault="0015099D" w:rsidP="0015099D">
      <w:pPr>
        <w:jc w:val="both"/>
        <w:rPr>
          <w:rFonts w:ascii="Arial" w:hAnsi="Arial" w:cs="Arial"/>
          <w:i/>
          <w:iCs/>
        </w:rPr>
      </w:pPr>
    </w:p>
    <w:p w14:paraId="74033711" w14:textId="77777777" w:rsidR="0015099D" w:rsidRDefault="0015099D" w:rsidP="0015099D">
      <w:pPr>
        <w:jc w:val="both"/>
        <w:rPr>
          <w:rFonts w:ascii="Arial" w:hAnsi="Arial" w:cs="Arial"/>
          <w:i/>
          <w:iCs/>
        </w:rPr>
      </w:pPr>
      <w:r>
        <w:rPr>
          <w:rFonts w:ascii="Arial" w:hAnsi="Arial" w:cs="Arial"/>
          <w:i/>
          <w:iCs/>
        </w:rPr>
        <w:t xml:space="preserve">Il est précisé que les crédits correspondants, sont inscrits au budget lors de son adoption » </w:t>
      </w:r>
    </w:p>
    <w:p w14:paraId="3A6485A8" w14:textId="77777777" w:rsidR="0015099D" w:rsidRDefault="0015099D" w:rsidP="0015099D">
      <w:pPr>
        <w:jc w:val="both"/>
        <w:rPr>
          <w:rFonts w:ascii="Arial" w:hAnsi="Arial" w:cs="Arial"/>
          <w:i/>
          <w:iCs/>
        </w:rPr>
      </w:pPr>
    </w:p>
    <w:p w14:paraId="3D6848E3" w14:textId="77777777" w:rsidR="0015099D" w:rsidRDefault="0015099D" w:rsidP="0015099D">
      <w:pPr>
        <w:jc w:val="both"/>
        <w:rPr>
          <w:rFonts w:ascii="Arial" w:hAnsi="Arial" w:cs="Arial"/>
        </w:rPr>
      </w:pPr>
      <w:r>
        <w:rPr>
          <w:rFonts w:ascii="Arial" w:hAnsi="Arial" w:cs="Arial"/>
        </w:rPr>
        <w:t xml:space="preserve">Cet article permet donc aux communes, sur autorisation du conseil municipal, d’engager, de liquider et de mandater les dépenses d’investissement avant le vote du budget primitif, </w:t>
      </w:r>
      <w:r>
        <w:rPr>
          <w:rFonts w:ascii="Arial" w:hAnsi="Arial" w:cs="Arial"/>
          <w:b/>
          <w:bCs/>
        </w:rPr>
        <w:t>dans la</w:t>
      </w:r>
      <w:r>
        <w:rPr>
          <w:rFonts w:ascii="Arial" w:hAnsi="Arial" w:cs="Arial"/>
        </w:rPr>
        <w:t xml:space="preserve"> </w:t>
      </w:r>
      <w:r>
        <w:rPr>
          <w:rFonts w:ascii="Arial" w:hAnsi="Arial" w:cs="Arial"/>
          <w:b/>
          <w:bCs/>
        </w:rPr>
        <w:t>limite du quart des crédits ouverts au budget de l’exercice précédent</w:t>
      </w:r>
      <w:r>
        <w:rPr>
          <w:rFonts w:ascii="Arial" w:hAnsi="Arial" w:cs="Arial"/>
        </w:rPr>
        <w:t xml:space="preserve">, non comprises les dépenses afférentes au remboursement de la dette. </w:t>
      </w:r>
    </w:p>
    <w:p w14:paraId="64C0F18C" w14:textId="77777777" w:rsidR="0015099D" w:rsidRDefault="0015099D" w:rsidP="0015099D">
      <w:pPr>
        <w:jc w:val="both"/>
        <w:rPr>
          <w:rFonts w:ascii="Arial" w:hAnsi="Arial" w:cs="Arial"/>
        </w:rPr>
      </w:pPr>
    </w:p>
    <w:p w14:paraId="58FF73D4" w14:textId="77777777" w:rsidR="0015099D" w:rsidRDefault="0015099D" w:rsidP="0015099D">
      <w:pPr>
        <w:jc w:val="both"/>
        <w:rPr>
          <w:rFonts w:ascii="Arial" w:hAnsi="Arial" w:cs="Arial"/>
        </w:rPr>
      </w:pPr>
      <w:r>
        <w:rPr>
          <w:rFonts w:ascii="Arial" w:hAnsi="Arial" w:cs="Arial"/>
        </w:rPr>
        <w:t xml:space="preserve">Les crédits à inscrire au budget lors de son adoption correspondent à l’intégralité des crédits ouverts, par anticipation, que les dépenses aient été ou non effectivement engagées. </w:t>
      </w:r>
    </w:p>
    <w:p w14:paraId="5B0B8267" w14:textId="77777777" w:rsidR="0015099D" w:rsidRDefault="0015099D" w:rsidP="0015099D">
      <w:pPr>
        <w:jc w:val="both"/>
        <w:rPr>
          <w:rFonts w:ascii="Arial" w:hAnsi="Arial" w:cs="Arial"/>
        </w:rPr>
      </w:pPr>
    </w:p>
    <w:p w14:paraId="639682F5" w14:textId="77777777" w:rsidR="0015099D" w:rsidRDefault="0015099D" w:rsidP="0015099D">
      <w:pPr>
        <w:jc w:val="both"/>
        <w:rPr>
          <w:rFonts w:ascii="Arial" w:hAnsi="Arial" w:cs="Arial"/>
        </w:rPr>
      </w:pPr>
      <w:r>
        <w:rPr>
          <w:rFonts w:ascii="Arial" w:hAnsi="Arial" w:cs="Arial"/>
        </w:rPr>
        <w:t>Cette disposition est particulièrement importante pour les opérations de travaux en cours en attendant le vote du budget primitif 2024.</w:t>
      </w:r>
    </w:p>
    <w:p w14:paraId="202ACD2B" w14:textId="77777777" w:rsidR="0015099D" w:rsidRDefault="0015099D" w:rsidP="0015099D">
      <w:pPr>
        <w:jc w:val="both"/>
        <w:rPr>
          <w:rFonts w:ascii="Arial" w:hAnsi="Arial" w:cs="Arial"/>
        </w:rPr>
      </w:pPr>
      <w:r>
        <w:rPr>
          <w:rFonts w:ascii="Arial" w:hAnsi="Arial" w:cs="Arial"/>
        </w:rPr>
        <w:t>Vu l’article L. 1612-1 du Code Général des Collectivités Territoriales ;</w:t>
      </w:r>
    </w:p>
    <w:p w14:paraId="250DAE22" w14:textId="77777777" w:rsidR="0015099D" w:rsidRDefault="0015099D" w:rsidP="0015099D">
      <w:pPr>
        <w:jc w:val="both"/>
        <w:rPr>
          <w:rFonts w:ascii="Arial" w:hAnsi="Arial" w:cs="Arial"/>
        </w:rPr>
      </w:pPr>
      <w:r>
        <w:rPr>
          <w:rFonts w:ascii="Arial" w:hAnsi="Arial" w:cs="Arial"/>
        </w:rPr>
        <w:t>Vu les dépenses d’investissement du budget primitif 2024 ;</w:t>
      </w:r>
    </w:p>
    <w:p w14:paraId="18DE1B15" w14:textId="77777777" w:rsidR="0015099D" w:rsidRDefault="0015099D" w:rsidP="0015099D">
      <w:pPr>
        <w:jc w:val="both"/>
        <w:rPr>
          <w:rFonts w:ascii="Arial" w:hAnsi="Arial" w:cs="Arial"/>
        </w:rPr>
      </w:pPr>
      <w:r>
        <w:rPr>
          <w:rFonts w:ascii="Arial" w:hAnsi="Arial" w:cs="Arial"/>
        </w:rPr>
        <w:t xml:space="preserve">Le Conseil Municipal, </w:t>
      </w:r>
    </w:p>
    <w:p w14:paraId="1BC1A81B" w14:textId="77777777" w:rsidR="0015099D" w:rsidRDefault="0015099D" w:rsidP="0015099D">
      <w:pPr>
        <w:jc w:val="both"/>
        <w:rPr>
          <w:rFonts w:ascii="Arial" w:hAnsi="Arial" w:cs="Arial"/>
        </w:rPr>
      </w:pPr>
      <w:r>
        <w:rPr>
          <w:rFonts w:ascii="Arial" w:hAnsi="Arial" w:cs="Arial"/>
        </w:rPr>
        <w:t xml:space="preserve">Après en avoir délibéré, </w:t>
      </w:r>
    </w:p>
    <w:p w14:paraId="6F5AE57A" w14:textId="77777777" w:rsidR="0015099D" w:rsidRDefault="0015099D" w:rsidP="0015099D">
      <w:pPr>
        <w:jc w:val="both"/>
        <w:rPr>
          <w:rFonts w:ascii="Arial" w:hAnsi="Arial" w:cs="Arial"/>
        </w:rPr>
      </w:pPr>
      <w:r>
        <w:rPr>
          <w:rFonts w:ascii="Arial" w:hAnsi="Arial" w:cs="Arial"/>
        </w:rPr>
        <w:t>A l’unanimité des membres présents plus deux pouvoirs</w:t>
      </w:r>
    </w:p>
    <w:p w14:paraId="0D227914" w14:textId="77777777" w:rsidR="0015099D" w:rsidRDefault="0015099D" w:rsidP="0015099D">
      <w:pPr>
        <w:jc w:val="both"/>
        <w:rPr>
          <w:rFonts w:ascii="Arial" w:hAnsi="Arial" w:cs="Arial"/>
        </w:rPr>
      </w:pPr>
    </w:p>
    <w:p w14:paraId="7E8B9C33" w14:textId="77777777" w:rsidR="0015099D" w:rsidRDefault="0015099D" w:rsidP="0015099D">
      <w:pPr>
        <w:jc w:val="both"/>
        <w:rPr>
          <w:rFonts w:ascii="Arial" w:hAnsi="Arial" w:cs="Arial"/>
        </w:rPr>
      </w:pPr>
      <w:r>
        <w:rPr>
          <w:rFonts w:ascii="Arial" w:hAnsi="Arial" w:cs="Arial"/>
          <w:b/>
          <w:bCs/>
        </w:rPr>
        <w:t xml:space="preserve">AUTORISE </w:t>
      </w:r>
      <w:r>
        <w:rPr>
          <w:rFonts w:ascii="Arial" w:hAnsi="Arial" w:cs="Arial"/>
        </w:rPr>
        <w:t xml:space="preserve">Monsieur le Maire à engager, liquider et mandater les dépenses d’investissement avant le vote du budget primitif 2025, à hauteur de 25% des prévisions budgétaires 2024 selon le détail ci-dessous : </w:t>
      </w:r>
    </w:p>
    <w:p w14:paraId="4CF4499C" w14:textId="77777777" w:rsidR="0015099D" w:rsidRDefault="0015099D" w:rsidP="0015099D">
      <w:pPr>
        <w:jc w:val="both"/>
        <w:rPr>
          <w:rFonts w:ascii="Arial" w:hAnsi="Arial" w:cs="Arial"/>
        </w:rPr>
      </w:pPr>
    </w:p>
    <w:p w14:paraId="52B8D3E4" w14:textId="77777777" w:rsidR="0015099D" w:rsidRDefault="0015099D" w:rsidP="0015099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3479"/>
        <w:gridCol w:w="2276"/>
        <w:gridCol w:w="2301"/>
      </w:tblGrid>
      <w:tr w:rsidR="0015099D" w14:paraId="02FB3205" w14:textId="77777777" w:rsidTr="0015099D">
        <w:tc>
          <w:tcPr>
            <w:tcW w:w="4888" w:type="dxa"/>
            <w:gridSpan w:val="2"/>
            <w:tcBorders>
              <w:top w:val="single" w:sz="4" w:space="0" w:color="000000"/>
              <w:left w:val="single" w:sz="4" w:space="0" w:color="000000"/>
              <w:bottom w:val="single" w:sz="4" w:space="0" w:color="000000"/>
              <w:right w:val="single" w:sz="4" w:space="0" w:color="000000"/>
            </w:tcBorders>
            <w:hideMark/>
          </w:tcPr>
          <w:p w14:paraId="17A5B316"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CHAPITRE</w:t>
            </w:r>
          </w:p>
        </w:tc>
        <w:tc>
          <w:tcPr>
            <w:tcW w:w="2445" w:type="dxa"/>
            <w:tcBorders>
              <w:top w:val="single" w:sz="4" w:space="0" w:color="000000"/>
              <w:left w:val="single" w:sz="4" w:space="0" w:color="000000"/>
              <w:bottom w:val="single" w:sz="4" w:space="0" w:color="000000"/>
              <w:right w:val="single" w:sz="4" w:space="0" w:color="000000"/>
            </w:tcBorders>
            <w:hideMark/>
          </w:tcPr>
          <w:p w14:paraId="4AD423FD"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MONTANT BP 2024</w:t>
            </w:r>
          </w:p>
        </w:tc>
        <w:tc>
          <w:tcPr>
            <w:tcW w:w="2445" w:type="dxa"/>
            <w:tcBorders>
              <w:top w:val="single" w:sz="4" w:space="0" w:color="000000"/>
              <w:left w:val="single" w:sz="4" w:space="0" w:color="000000"/>
              <w:bottom w:val="single" w:sz="4" w:space="0" w:color="000000"/>
              <w:right w:val="single" w:sz="4" w:space="0" w:color="000000"/>
            </w:tcBorders>
            <w:hideMark/>
          </w:tcPr>
          <w:p w14:paraId="47758850"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MONTANTS 2025 AUTORISES</w:t>
            </w:r>
          </w:p>
        </w:tc>
      </w:tr>
      <w:tr w:rsidR="0015099D" w14:paraId="23E4DD63" w14:textId="77777777" w:rsidTr="0015099D">
        <w:tc>
          <w:tcPr>
            <w:tcW w:w="1101" w:type="dxa"/>
            <w:tcBorders>
              <w:top w:val="single" w:sz="4" w:space="0" w:color="000000"/>
              <w:left w:val="single" w:sz="4" w:space="0" w:color="000000"/>
              <w:bottom w:val="single" w:sz="4" w:space="0" w:color="000000"/>
              <w:right w:val="single" w:sz="4" w:space="0" w:color="000000"/>
            </w:tcBorders>
            <w:hideMark/>
          </w:tcPr>
          <w:p w14:paraId="79BA8BD5" w14:textId="77777777" w:rsidR="0015099D" w:rsidRDefault="0015099D">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20</w:t>
            </w:r>
          </w:p>
        </w:tc>
        <w:tc>
          <w:tcPr>
            <w:tcW w:w="3787" w:type="dxa"/>
            <w:tcBorders>
              <w:top w:val="single" w:sz="4" w:space="0" w:color="000000"/>
              <w:left w:val="single" w:sz="4" w:space="0" w:color="000000"/>
              <w:bottom w:val="single" w:sz="4" w:space="0" w:color="000000"/>
              <w:right w:val="single" w:sz="4" w:space="0" w:color="000000"/>
            </w:tcBorders>
            <w:hideMark/>
          </w:tcPr>
          <w:p w14:paraId="0493560F" w14:textId="77777777" w:rsidR="0015099D" w:rsidRDefault="0015099D">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Immobilisations incorporelles</w:t>
            </w:r>
          </w:p>
        </w:tc>
        <w:tc>
          <w:tcPr>
            <w:tcW w:w="2445" w:type="dxa"/>
            <w:tcBorders>
              <w:top w:val="single" w:sz="4" w:space="0" w:color="000000"/>
              <w:left w:val="single" w:sz="4" w:space="0" w:color="000000"/>
              <w:bottom w:val="single" w:sz="4" w:space="0" w:color="000000"/>
              <w:right w:val="single" w:sz="4" w:space="0" w:color="000000"/>
            </w:tcBorders>
            <w:hideMark/>
          </w:tcPr>
          <w:p w14:paraId="2359223E"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69 000.00</w:t>
            </w:r>
          </w:p>
        </w:tc>
        <w:tc>
          <w:tcPr>
            <w:tcW w:w="2445" w:type="dxa"/>
            <w:tcBorders>
              <w:top w:val="single" w:sz="4" w:space="0" w:color="000000"/>
              <w:left w:val="single" w:sz="4" w:space="0" w:color="000000"/>
              <w:bottom w:val="single" w:sz="4" w:space="0" w:color="000000"/>
              <w:right w:val="single" w:sz="4" w:space="0" w:color="000000"/>
            </w:tcBorders>
            <w:hideMark/>
          </w:tcPr>
          <w:p w14:paraId="2D835F1E"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17 250.00</w:t>
            </w:r>
          </w:p>
        </w:tc>
      </w:tr>
      <w:tr w:rsidR="0015099D" w14:paraId="39D9EEEB" w14:textId="77777777" w:rsidTr="0015099D">
        <w:tc>
          <w:tcPr>
            <w:tcW w:w="1101" w:type="dxa"/>
            <w:tcBorders>
              <w:top w:val="single" w:sz="4" w:space="0" w:color="000000"/>
              <w:left w:val="single" w:sz="4" w:space="0" w:color="000000"/>
              <w:bottom w:val="single" w:sz="4" w:space="0" w:color="000000"/>
              <w:right w:val="single" w:sz="4" w:space="0" w:color="000000"/>
            </w:tcBorders>
            <w:hideMark/>
          </w:tcPr>
          <w:p w14:paraId="1E0DF07D" w14:textId="77777777" w:rsidR="0015099D" w:rsidRDefault="0015099D">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21</w:t>
            </w:r>
          </w:p>
        </w:tc>
        <w:tc>
          <w:tcPr>
            <w:tcW w:w="3787" w:type="dxa"/>
            <w:tcBorders>
              <w:top w:val="single" w:sz="4" w:space="0" w:color="000000"/>
              <w:left w:val="single" w:sz="4" w:space="0" w:color="000000"/>
              <w:bottom w:val="single" w:sz="4" w:space="0" w:color="000000"/>
              <w:right w:val="single" w:sz="4" w:space="0" w:color="000000"/>
            </w:tcBorders>
            <w:hideMark/>
          </w:tcPr>
          <w:p w14:paraId="17CFB6DE" w14:textId="77777777" w:rsidR="0015099D" w:rsidRDefault="0015099D">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Immobilisations corporelles</w:t>
            </w:r>
          </w:p>
        </w:tc>
        <w:tc>
          <w:tcPr>
            <w:tcW w:w="2445" w:type="dxa"/>
            <w:tcBorders>
              <w:top w:val="single" w:sz="4" w:space="0" w:color="000000"/>
              <w:left w:val="single" w:sz="4" w:space="0" w:color="000000"/>
              <w:bottom w:val="single" w:sz="4" w:space="0" w:color="000000"/>
              <w:right w:val="single" w:sz="4" w:space="0" w:color="000000"/>
            </w:tcBorders>
            <w:hideMark/>
          </w:tcPr>
          <w:p w14:paraId="16A712C1"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10 000.00</w:t>
            </w:r>
          </w:p>
        </w:tc>
        <w:tc>
          <w:tcPr>
            <w:tcW w:w="2445" w:type="dxa"/>
            <w:tcBorders>
              <w:top w:val="single" w:sz="4" w:space="0" w:color="000000"/>
              <w:left w:val="single" w:sz="4" w:space="0" w:color="000000"/>
              <w:bottom w:val="single" w:sz="4" w:space="0" w:color="000000"/>
              <w:right w:val="single" w:sz="4" w:space="0" w:color="000000"/>
            </w:tcBorders>
            <w:hideMark/>
          </w:tcPr>
          <w:p w14:paraId="2287411E"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2 500.00</w:t>
            </w:r>
          </w:p>
        </w:tc>
      </w:tr>
      <w:tr w:rsidR="0015099D" w14:paraId="025E6339" w14:textId="77777777" w:rsidTr="0015099D">
        <w:tc>
          <w:tcPr>
            <w:tcW w:w="9778" w:type="dxa"/>
            <w:gridSpan w:val="4"/>
            <w:tcBorders>
              <w:top w:val="single" w:sz="4" w:space="0" w:color="000000"/>
              <w:left w:val="single" w:sz="4" w:space="0" w:color="000000"/>
              <w:bottom w:val="single" w:sz="4" w:space="0" w:color="000000"/>
              <w:right w:val="single" w:sz="4" w:space="0" w:color="000000"/>
            </w:tcBorders>
            <w:hideMark/>
          </w:tcPr>
          <w:p w14:paraId="78AF9119"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RENOVATION ANCIENNE POSTE</w:t>
            </w:r>
          </w:p>
        </w:tc>
      </w:tr>
      <w:tr w:rsidR="0015099D" w14:paraId="0A8D545C" w14:textId="77777777" w:rsidTr="0015099D">
        <w:tc>
          <w:tcPr>
            <w:tcW w:w="1101" w:type="dxa"/>
            <w:tcBorders>
              <w:top w:val="single" w:sz="4" w:space="0" w:color="000000"/>
              <w:left w:val="single" w:sz="4" w:space="0" w:color="000000"/>
              <w:bottom w:val="single" w:sz="4" w:space="0" w:color="000000"/>
              <w:right w:val="single" w:sz="4" w:space="0" w:color="000000"/>
            </w:tcBorders>
            <w:hideMark/>
          </w:tcPr>
          <w:p w14:paraId="7A112DFD" w14:textId="77777777" w:rsidR="0015099D" w:rsidRDefault="0015099D">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20</w:t>
            </w:r>
          </w:p>
        </w:tc>
        <w:tc>
          <w:tcPr>
            <w:tcW w:w="3787" w:type="dxa"/>
            <w:tcBorders>
              <w:top w:val="single" w:sz="4" w:space="0" w:color="000000"/>
              <w:left w:val="single" w:sz="4" w:space="0" w:color="000000"/>
              <w:bottom w:val="single" w:sz="4" w:space="0" w:color="000000"/>
              <w:right w:val="single" w:sz="4" w:space="0" w:color="000000"/>
            </w:tcBorders>
            <w:hideMark/>
          </w:tcPr>
          <w:p w14:paraId="001E2A2B" w14:textId="77777777" w:rsidR="0015099D" w:rsidRDefault="0015099D">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Immobilisations incorporelles</w:t>
            </w:r>
          </w:p>
        </w:tc>
        <w:tc>
          <w:tcPr>
            <w:tcW w:w="2445" w:type="dxa"/>
            <w:tcBorders>
              <w:top w:val="single" w:sz="4" w:space="0" w:color="000000"/>
              <w:left w:val="single" w:sz="4" w:space="0" w:color="000000"/>
              <w:bottom w:val="single" w:sz="4" w:space="0" w:color="000000"/>
              <w:right w:val="single" w:sz="4" w:space="0" w:color="000000"/>
            </w:tcBorders>
            <w:hideMark/>
          </w:tcPr>
          <w:p w14:paraId="2044635A"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16 500.00</w:t>
            </w:r>
          </w:p>
        </w:tc>
        <w:tc>
          <w:tcPr>
            <w:tcW w:w="2445" w:type="dxa"/>
            <w:tcBorders>
              <w:top w:val="single" w:sz="4" w:space="0" w:color="000000"/>
              <w:left w:val="single" w:sz="4" w:space="0" w:color="000000"/>
              <w:bottom w:val="single" w:sz="4" w:space="0" w:color="000000"/>
              <w:right w:val="single" w:sz="4" w:space="0" w:color="000000"/>
            </w:tcBorders>
            <w:hideMark/>
          </w:tcPr>
          <w:p w14:paraId="7AA44238"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4 125.00</w:t>
            </w:r>
          </w:p>
        </w:tc>
      </w:tr>
      <w:tr w:rsidR="0015099D" w14:paraId="2FAD6C7D" w14:textId="77777777" w:rsidTr="0015099D">
        <w:tc>
          <w:tcPr>
            <w:tcW w:w="1101" w:type="dxa"/>
            <w:tcBorders>
              <w:top w:val="single" w:sz="4" w:space="0" w:color="000000"/>
              <w:left w:val="single" w:sz="4" w:space="0" w:color="000000"/>
              <w:bottom w:val="single" w:sz="4" w:space="0" w:color="000000"/>
              <w:right w:val="single" w:sz="4" w:space="0" w:color="000000"/>
            </w:tcBorders>
            <w:hideMark/>
          </w:tcPr>
          <w:p w14:paraId="6AEA0431" w14:textId="77777777" w:rsidR="0015099D" w:rsidRDefault="0015099D">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21</w:t>
            </w:r>
          </w:p>
        </w:tc>
        <w:tc>
          <w:tcPr>
            <w:tcW w:w="3787" w:type="dxa"/>
            <w:tcBorders>
              <w:top w:val="single" w:sz="4" w:space="0" w:color="000000"/>
              <w:left w:val="single" w:sz="4" w:space="0" w:color="000000"/>
              <w:bottom w:val="single" w:sz="4" w:space="0" w:color="000000"/>
              <w:right w:val="single" w:sz="4" w:space="0" w:color="000000"/>
            </w:tcBorders>
            <w:hideMark/>
          </w:tcPr>
          <w:p w14:paraId="2EAFC38A" w14:textId="77777777" w:rsidR="0015099D" w:rsidRDefault="0015099D">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Immobilisations corporelles</w:t>
            </w:r>
          </w:p>
        </w:tc>
        <w:tc>
          <w:tcPr>
            <w:tcW w:w="2445" w:type="dxa"/>
            <w:tcBorders>
              <w:top w:val="single" w:sz="4" w:space="0" w:color="000000"/>
              <w:left w:val="single" w:sz="4" w:space="0" w:color="000000"/>
              <w:bottom w:val="single" w:sz="4" w:space="0" w:color="000000"/>
              <w:right w:val="single" w:sz="4" w:space="0" w:color="000000"/>
            </w:tcBorders>
            <w:hideMark/>
          </w:tcPr>
          <w:p w14:paraId="27ED42CD"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37 000.00</w:t>
            </w:r>
          </w:p>
        </w:tc>
        <w:tc>
          <w:tcPr>
            <w:tcW w:w="2445" w:type="dxa"/>
            <w:tcBorders>
              <w:top w:val="single" w:sz="4" w:space="0" w:color="000000"/>
              <w:left w:val="single" w:sz="4" w:space="0" w:color="000000"/>
              <w:bottom w:val="single" w:sz="4" w:space="0" w:color="000000"/>
              <w:right w:val="single" w:sz="4" w:space="0" w:color="000000"/>
            </w:tcBorders>
            <w:hideMark/>
          </w:tcPr>
          <w:p w14:paraId="542878C1"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9 250.00</w:t>
            </w:r>
          </w:p>
        </w:tc>
      </w:tr>
      <w:tr w:rsidR="0015099D" w14:paraId="7F31D3BE" w14:textId="77777777" w:rsidTr="0015099D">
        <w:tc>
          <w:tcPr>
            <w:tcW w:w="1101" w:type="dxa"/>
            <w:tcBorders>
              <w:top w:val="single" w:sz="4" w:space="0" w:color="000000"/>
              <w:left w:val="single" w:sz="4" w:space="0" w:color="000000"/>
              <w:bottom w:val="single" w:sz="4" w:space="0" w:color="000000"/>
              <w:right w:val="single" w:sz="4" w:space="0" w:color="000000"/>
            </w:tcBorders>
            <w:hideMark/>
          </w:tcPr>
          <w:p w14:paraId="2B27D23A" w14:textId="77777777" w:rsidR="0015099D" w:rsidRDefault="0015099D">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23</w:t>
            </w:r>
          </w:p>
        </w:tc>
        <w:tc>
          <w:tcPr>
            <w:tcW w:w="3787" w:type="dxa"/>
            <w:tcBorders>
              <w:top w:val="single" w:sz="4" w:space="0" w:color="000000"/>
              <w:left w:val="single" w:sz="4" w:space="0" w:color="000000"/>
              <w:bottom w:val="single" w:sz="4" w:space="0" w:color="000000"/>
              <w:right w:val="single" w:sz="4" w:space="0" w:color="000000"/>
            </w:tcBorders>
            <w:hideMark/>
          </w:tcPr>
          <w:p w14:paraId="31B8B43E" w14:textId="77777777" w:rsidR="0015099D" w:rsidRDefault="0015099D">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Immobilisations en cours</w:t>
            </w:r>
          </w:p>
        </w:tc>
        <w:tc>
          <w:tcPr>
            <w:tcW w:w="2445" w:type="dxa"/>
            <w:tcBorders>
              <w:top w:val="single" w:sz="4" w:space="0" w:color="000000"/>
              <w:left w:val="single" w:sz="4" w:space="0" w:color="000000"/>
              <w:bottom w:val="single" w:sz="4" w:space="0" w:color="000000"/>
              <w:right w:val="single" w:sz="4" w:space="0" w:color="000000"/>
            </w:tcBorders>
            <w:hideMark/>
          </w:tcPr>
          <w:p w14:paraId="15E778B5"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370 500.00</w:t>
            </w:r>
          </w:p>
        </w:tc>
        <w:tc>
          <w:tcPr>
            <w:tcW w:w="2445" w:type="dxa"/>
            <w:tcBorders>
              <w:top w:val="single" w:sz="4" w:space="0" w:color="000000"/>
              <w:left w:val="single" w:sz="4" w:space="0" w:color="000000"/>
              <w:bottom w:val="single" w:sz="4" w:space="0" w:color="000000"/>
              <w:right w:val="single" w:sz="4" w:space="0" w:color="000000"/>
            </w:tcBorders>
            <w:hideMark/>
          </w:tcPr>
          <w:p w14:paraId="6C0E647C" w14:textId="77777777" w:rsidR="0015099D" w:rsidRDefault="0015099D">
            <w:pPr>
              <w:spacing w:line="256" w:lineRule="auto"/>
              <w:jc w:val="center"/>
              <w:rPr>
                <w:rFonts w:ascii="Arial" w:hAnsi="Arial" w:cs="Arial"/>
                <w:kern w:val="2"/>
                <w:lang w:eastAsia="en-US"/>
                <w14:ligatures w14:val="standardContextual"/>
              </w:rPr>
            </w:pPr>
            <w:r>
              <w:rPr>
                <w:rFonts w:ascii="Arial" w:hAnsi="Arial" w:cs="Arial"/>
                <w:kern w:val="2"/>
                <w:lang w:eastAsia="en-US"/>
                <w14:ligatures w14:val="standardContextual"/>
              </w:rPr>
              <w:t>92 625.00</w:t>
            </w:r>
          </w:p>
        </w:tc>
      </w:tr>
    </w:tbl>
    <w:p w14:paraId="3595130A" w14:textId="77777777" w:rsidR="0015099D" w:rsidRDefault="0015099D" w:rsidP="0015099D">
      <w:pPr>
        <w:jc w:val="both"/>
        <w:rPr>
          <w:rFonts w:ascii="Arial" w:hAnsi="Arial" w:cs="Arial"/>
          <w:b/>
          <w:bCs/>
          <w:sz w:val="24"/>
          <w:szCs w:val="24"/>
          <w:u w:val="single"/>
        </w:rPr>
      </w:pPr>
    </w:p>
    <w:p w14:paraId="33083994" w14:textId="77777777" w:rsidR="0015099D" w:rsidRDefault="0015099D" w:rsidP="0015099D">
      <w:pPr>
        <w:jc w:val="both"/>
        <w:rPr>
          <w:rFonts w:ascii="Arial" w:hAnsi="Arial" w:cs="Arial"/>
        </w:rPr>
      </w:pPr>
    </w:p>
    <w:p w14:paraId="5D95BF86" w14:textId="77777777" w:rsidR="0015099D" w:rsidRDefault="0015099D" w:rsidP="0015099D">
      <w:pPr>
        <w:jc w:val="both"/>
        <w:rPr>
          <w:rFonts w:ascii="Arial" w:hAnsi="Arial" w:cs="Arial"/>
          <w:b/>
          <w:bCs/>
          <w:sz w:val="24"/>
          <w:szCs w:val="24"/>
          <w:u w:val="single"/>
        </w:rPr>
      </w:pPr>
      <w:r>
        <w:rPr>
          <w:rFonts w:ascii="Arial" w:hAnsi="Arial" w:cs="Arial"/>
          <w:b/>
          <w:bCs/>
          <w:sz w:val="24"/>
          <w:szCs w:val="24"/>
          <w:u w:val="single"/>
        </w:rPr>
        <w:t>006 – DEMANDE DE SUBVENTION DANS LE CADRE DES AMENDES DE POLICE</w:t>
      </w:r>
    </w:p>
    <w:p w14:paraId="54E172F0" w14:textId="77777777" w:rsidR="0015099D" w:rsidRDefault="0015099D" w:rsidP="0015099D">
      <w:pPr>
        <w:jc w:val="both"/>
        <w:rPr>
          <w:rFonts w:ascii="Arial" w:hAnsi="Arial" w:cs="Arial"/>
        </w:rPr>
      </w:pPr>
      <w:r>
        <w:rPr>
          <w:rFonts w:ascii="Arial" w:hAnsi="Arial" w:cs="Arial"/>
        </w:rPr>
        <w:t xml:space="preserve">Conformément aux termes de l’article R2334-12 du Code Général des Collectivités Territoriales, le Conseil Départemental arrête chaque année la liste des communes du département bénéficiaires du produit des amendes de police relatives à la circulation routière. Cette somme est répartie entre les communes de moins de 10 000 habitants pour le financement des travaux concourant à l’amélioration des conditions générales de circulation et de sécurité routière. </w:t>
      </w:r>
    </w:p>
    <w:p w14:paraId="509C9AE6" w14:textId="77777777" w:rsidR="0015099D" w:rsidRDefault="0015099D" w:rsidP="0015099D">
      <w:pPr>
        <w:jc w:val="both"/>
        <w:rPr>
          <w:rFonts w:ascii="Arial" w:hAnsi="Arial" w:cs="Arial"/>
        </w:rPr>
      </w:pPr>
      <w:r>
        <w:rPr>
          <w:rFonts w:ascii="Arial" w:hAnsi="Arial" w:cs="Arial"/>
        </w:rPr>
        <w:t>Enfin, la règle veut qu’une commune ne puisse prétendre deux années de suite à cette aide. La commune de Saint-Félix-de-Pallières n’ayant pas été aidée au titre des amendes de police pour l’année 2024 peut soumettre un dossier d’aide à ce titre.</w:t>
      </w:r>
    </w:p>
    <w:p w14:paraId="22EF56A7" w14:textId="77777777" w:rsidR="0015099D" w:rsidRDefault="0015099D" w:rsidP="0015099D">
      <w:pPr>
        <w:jc w:val="both"/>
        <w:rPr>
          <w:rFonts w:ascii="Arial" w:hAnsi="Arial" w:cs="Arial"/>
        </w:rPr>
      </w:pPr>
      <w:r>
        <w:rPr>
          <w:rFonts w:ascii="Arial" w:hAnsi="Arial" w:cs="Arial"/>
        </w:rPr>
        <w:t xml:space="preserve">Suite à la création d’un café associatif dans les murs de l’ancienne poste en bordure de la départementale 133, il y a lieu d’envisager des travaux de sécurisation de cette portion de route. </w:t>
      </w:r>
    </w:p>
    <w:p w14:paraId="52DC0A20" w14:textId="77777777" w:rsidR="0015099D" w:rsidRDefault="0015099D" w:rsidP="0015099D">
      <w:pPr>
        <w:jc w:val="both"/>
        <w:rPr>
          <w:rFonts w:ascii="Arial" w:hAnsi="Arial" w:cs="Arial"/>
        </w:rPr>
      </w:pPr>
      <w:r>
        <w:rPr>
          <w:rFonts w:ascii="Arial" w:hAnsi="Arial" w:cs="Arial"/>
        </w:rPr>
        <w:t xml:space="preserve">Pour le financement de ces travaux, il est proposé de solliciter le Département. La dépense est évaluée à 39 500.00 € HT </w:t>
      </w:r>
    </w:p>
    <w:p w14:paraId="5E7D5613" w14:textId="77777777" w:rsidR="0015099D" w:rsidRDefault="0015099D" w:rsidP="0015099D">
      <w:pPr>
        <w:jc w:val="center"/>
        <w:rPr>
          <w:rFonts w:ascii="Arial" w:hAnsi="Arial" w:cs="Arial"/>
          <w:b/>
          <w:bCs/>
        </w:rPr>
      </w:pPr>
      <w:r>
        <w:rPr>
          <w:rFonts w:ascii="Arial" w:hAnsi="Arial" w:cs="Arial"/>
          <w:b/>
          <w:bCs/>
        </w:rPr>
        <w:t>Décision</w:t>
      </w:r>
    </w:p>
    <w:p w14:paraId="095BF8B0" w14:textId="77777777" w:rsidR="0015099D" w:rsidRDefault="0015099D" w:rsidP="0015099D">
      <w:pPr>
        <w:jc w:val="both"/>
        <w:rPr>
          <w:rFonts w:ascii="Arial" w:hAnsi="Arial" w:cs="Arial"/>
        </w:rPr>
      </w:pPr>
      <w:r>
        <w:rPr>
          <w:rFonts w:ascii="Arial" w:hAnsi="Arial" w:cs="Arial"/>
        </w:rPr>
        <w:t xml:space="preserve">Le Conseil Municipal, </w:t>
      </w:r>
    </w:p>
    <w:p w14:paraId="28602CFD" w14:textId="77777777" w:rsidR="0015099D" w:rsidRDefault="0015099D" w:rsidP="0015099D">
      <w:pPr>
        <w:jc w:val="both"/>
        <w:rPr>
          <w:rFonts w:ascii="Arial" w:hAnsi="Arial" w:cs="Arial"/>
        </w:rPr>
      </w:pPr>
      <w:r>
        <w:rPr>
          <w:rFonts w:ascii="Arial" w:hAnsi="Arial" w:cs="Arial"/>
        </w:rPr>
        <w:t xml:space="preserve">Vu le Code Général des Collectivités Territoriales, </w:t>
      </w:r>
    </w:p>
    <w:p w14:paraId="0CAAB078" w14:textId="77777777" w:rsidR="0015099D" w:rsidRDefault="0015099D" w:rsidP="0015099D">
      <w:pPr>
        <w:jc w:val="both"/>
        <w:rPr>
          <w:rFonts w:ascii="Arial" w:hAnsi="Arial" w:cs="Arial"/>
        </w:rPr>
      </w:pPr>
      <w:r>
        <w:rPr>
          <w:rFonts w:ascii="Arial" w:hAnsi="Arial" w:cs="Arial"/>
        </w:rPr>
        <w:lastRenderedPageBreak/>
        <w:t xml:space="preserve">Considérant la nécessité de réduire la vitesse dans le village, devant le « Féliz Café » et la mairie, </w:t>
      </w:r>
    </w:p>
    <w:p w14:paraId="0B4094CF" w14:textId="77777777" w:rsidR="0015099D" w:rsidRDefault="0015099D" w:rsidP="0015099D">
      <w:pPr>
        <w:jc w:val="both"/>
        <w:rPr>
          <w:rFonts w:ascii="Arial" w:hAnsi="Arial" w:cs="Arial"/>
        </w:rPr>
      </w:pPr>
      <w:r>
        <w:rPr>
          <w:rFonts w:ascii="Arial" w:hAnsi="Arial" w:cs="Arial"/>
        </w:rPr>
        <w:t>Après en avoir délibéré et à l’unanimité des membres présents plus deux pouvoirs :</w:t>
      </w:r>
    </w:p>
    <w:p w14:paraId="479978EE" w14:textId="77777777" w:rsidR="0015099D" w:rsidRDefault="0015099D" w:rsidP="0015099D">
      <w:pPr>
        <w:jc w:val="both"/>
        <w:rPr>
          <w:rFonts w:ascii="Arial" w:hAnsi="Arial" w:cs="Arial"/>
        </w:rPr>
      </w:pPr>
      <w:r>
        <w:rPr>
          <w:rFonts w:ascii="Arial" w:hAnsi="Arial" w:cs="Arial"/>
          <w:b/>
          <w:bCs/>
          <w:u w:val="single"/>
        </w:rPr>
        <w:t>Article 1</w:t>
      </w:r>
      <w:r>
        <w:rPr>
          <w:rFonts w:ascii="Arial" w:hAnsi="Arial" w:cs="Arial"/>
        </w:rPr>
        <w:t> : donne un accord de principe à la mise en sécurité de la traversée de l’agglomération ;</w:t>
      </w:r>
    </w:p>
    <w:p w14:paraId="65C110FC" w14:textId="77777777" w:rsidR="0015099D" w:rsidRDefault="0015099D" w:rsidP="0015099D">
      <w:pPr>
        <w:jc w:val="both"/>
        <w:rPr>
          <w:rFonts w:ascii="Arial" w:hAnsi="Arial" w:cs="Arial"/>
        </w:rPr>
      </w:pPr>
      <w:r>
        <w:rPr>
          <w:rFonts w:ascii="Arial" w:hAnsi="Arial" w:cs="Arial"/>
          <w:b/>
          <w:bCs/>
          <w:u w:val="single"/>
        </w:rPr>
        <w:t>Article 2</w:t>
      </w:r>
      <w:r>
        <w:rPr>
          <w:rFonts w:ascii="Arial" w:hAnsi="Arial" w:cs="Arial"/>
        </w:rPr>
        <w:t> : autorise Monsieur le Maire ou son représentant à solliciter le Département au titre du dispositif des amendes de police ;</w:t>
      </w:r>
    </w:p>
    <w:p w14:paraId="3AB57B2C" w14:textId="77777777" w:rsidR="0015099D" w:rsidRDefault="0015099D" w:rsidP="0015099D">
      <w:pPr>
        <w:jc w:val="both"/>
        <w:rPr>
          <w:rFonts w:ascii="Arial" w:hAnsi="Arial" w:cs="Arial"/>
        </w:rPr>
      </w:pPr>
      <w:r>
        <w:rPr>
          <w:rFonts w:ascii="Arial" w:hAnsi="Arial" w:cs="Arial"/>
          <w:b/>
          <w:bCs/>
          <w:u w:val="single"/>
        </w:rPr>
        <w:t>Article 3</w:t>
      </w:r>
      <w:r>
        <w:rPr>
          <w:rFonts w:ascii="Arial" w:hAnsi="Arial" w:cs="Arial"/>
        </w:rPr>
        <w:t xml:space="preserve"> : autorise Monsieur le Maire ou son représentant à signer toutes les pièces se rapportant à cette affaire. </w:t>
      </w:r>
    </w:p>
    <w:p w14:paraId="5F4328D7" w14:textId="77777777" w:rsidR="0015099D" w:rsidRDefault="0015099D" w:rsidP="0015099D">
      <w:pPr>
        <w:jc w:val="both"/>
        <w:rPr>
          <w:rFonts w:ascii="Arial" w:hAnsi="Arial" w:cs="Arial"/>
        </w:rPr>
      </w:pPr>
    </w:p>
    <w:p w14:paraId="2E82A27D" w14:textId="77777777" w:rsidR="0015099D" w:rsidRDefault="0015099D" w:rsidP="0015099D">
      <w:pPr>
        <w:jc w:val="both"/>
        <w:rPr>
          <w:rFonts w:ascii="Arial" w:hAnsi="Arial" w:cs="Arial"/>
          <w:b/>
          <w:bCs/>
          <w:sz w:val="24"/>
          <w:szCs w:val="24"/>
          <w:u w:val="single"/>
        </w:rPr>
      </w:pPr>
      <w:r>
        <w:rPr>
          <w:rFonts w:ascii="Arial" w:hAnsi="Arial" w:cs="Arial"/>
          <w:b/>
          <w:bCs/>
          <w:sz w:val="24"/>
          <w:szCs w:val="24"/>
          <w:u w:val="single"/>
        </w:rPr>
        <w:t>007- CONVENTION CONCERNANT LES FRAIS DE FONCTIONNEMENT DE L’ECOLE PRIMAIRE DE THOIRAS-CORBES (classes maternelles et élémentaires)</w:t>
      </w:r>
    </w:p>
    <w:p w14:paraId="64A05BD7" w14:textId="77777777" w:rsidR="0015099D" w:rsidRDefault="0015099D" w:rsidP="0015099D">
      <w:pPr>
        <w:jc w:val="both"/>
        <w:rPr>
          <w:rFonts w:ascii="Arial" w:hAnsi="Arial" w:cs="Arial"/>
        </w:rPr>
      </w:pPr>
      <w:r>
        <w:rPr>
          <w:rFonts w:ascii="Arial" w:hAnsi="Arial" w:cs="Arial"/>
        </w:rPr>
        <w:t xml:space="preserve">Par convention signée le 26 janvier 2023, la commune de Saint-Félix-de-Pallières acceptait de participer aux frais de scolarité de fonctionnement pour les enfants scolarisés à l’école maternelle et élémentaire de la commune de Thoiras à savoir 500 €/enfant, montant pouvant être réévalué chaque année. </w:t>
      </w:r>
    </w:p>
    <w:p w14:paraId="76F03D6A" w14:textId="77777777" w:rsidR="0015099D" w:rsidRDefault="0015099D" w:rsidP="0015099D">
      <w:pPr>
        <w:jc w:val="both"/>
        <w:rPr>
          <w:rFonts w:ascii="Arial" w:hAnsi="Arial" w:cs="Arial"/>
        </w:rPr>
      </w:pPr>
      <w:r>
        <w:rPr>
          <w:rFonts w:ascii="Arial" w:hAnsi="Arial" w:cs="Arial"/>
        </w:rPr>
        <w:t>Depuis le 1</w:t>
      </w:r>
      <w:r>
        <w:rPr>
          <w:rFonts w:ascii="Arial" w:hAnsi="Arial" w:cs="Arial"/>
          <w:vertAlign w:val="superscript"/>
        </w:rPr>
        <w:t>er</w:t>
      </w:r>
      <w:r>
        <w:rPr>
          <w:rFonts w:ascii="Arial" w:hAnsi="Arial" w:cs="Arial"/>
        </w:rPr>
        <w:t xml:space="preserve"> janvier 2025 les communes de Thoiras et Corbes forment la commune nouvelle de Thoiras-Corbes. Il y a donc lieu d’établir une nouvelle convention au nom de la commune Thoiras-Corbes. </w:t>
      </w:r>
    </w:p>
    <w:p w14:paraId="79710470" w14:textId="77777777" w:rsidR="0015099D" w:rsidRDefault="0015099D" w:rsidP="0015099D">
      <w:pPr>
        <w:jc w:val="both"/>
        <w:rPr>
          <w:rFonts w:ascii="Arial" w:hAnsi="Arial" w:cs="Arial"/>
        </w:rPr>
      </w:pPr>
      <w:r>
        <w:rPr>
          <w:rFonts w:ascii="Arial" w:hAnsi="Arial" w:cs="Arial"/>
        </w:rPr>
        <w:t>Après en avoir délibéré et à l’unanimité des membres présents plus deux pouvoirs, le conseil municipal autorise Monsieur le Maire à signer cette nouvelle convention.</w:t>
      </w:r>
    </w:p>
    <w:p w14:paraId="7FC4437B" w14:textId="77777777" w:rsidR="0015099D" w:rsidRDefault="0015099D" w:rsidP="0015099D">
      <w:pPr>
        <w:jc w:val="both"/>
        <w:rPr>
          <w:rFonts w:ascii="Arial" w:hAnsi="Arial" w:cs="Arial"/>
          <w:sz w:val="24"/>
          <w:szCs w:val="24"/>
        </w:rPr>
      </w:pPr>
    </w:p>
    <w:p w14:paraId="275DBD32" w14:textId="77777777" w:rsidR="0015099D" w:rsidRDefault="0015099D" w:rsidP="0015099D">
      <w:pPr>
        <w:jc w:val="both"/>
        <w:rPr>
          <w:rFonts w:ascii="Arial" w:hAnsi="Arial" w:cs="Arial"/>
          <w:b/>
          <w:bCs/>
          <w:sz w:val="24"/>
          <w:szCs w:val="24"/>
          <w:u w:val="single"/>
        </w:rPr>
      </w:pPr>
      <w:r>
        <w:rPr>
          <w:rFonts w:ascii="Arial" w:hAnsi="Arial" w:cs="Arial"/>
          <w:b/>
          <w:bCs/>
          <w:sz w:val="24"/>
          <w:szCs w:val="24"/>
          <w:u w:val="single"/>
        </w:rPr>
        <w:t xml:space="preserve">008 – RETRAIT DE LA DELIBERATION 2024-037 </w:t>
      </w:r>
    </w:p>
    <w:p w14:paraId="522FF636" w14:textId="77777777" w:rsidR="0015099D" w:rsidRDefault="0015099D" w:rsidP="0015099D">
      <w:pPr>
        <w:jc w:val="both"/>
        <w:rPr>
          <w:rFonts w:ascii="Arial" w:hAnsi="Arial" w:cs="Arial"/>
        </w:rPr>
      </w:pPr>
      <w:r>
        <w:rPr>
          <w:rFonts w:ascii="Arial" w:hAnsi="Arial" w:cs="Arial"/>
        </w:rPr>
        <w:t xml:space="preserve">Monsieur le Maire informe l’assemblée que la délibération 2024-037 du 02 décembre 2024 sur les délégations consenties par le conseil municipal au maire a fait l’objet d’une demande de retrait par les services de l’Etat et serait susceptible de recours contentieux en l’état. Les points concernés sont les suivants : </w:t>
      </w:r>
    </w:p>
    <w:p w14:paraId="150567A9" w14:textId="77777777" w:rsidR="0015099D" w:rsidRDefault="0015099D" w:rsidP="0015099D">
      <w:pPr>
        <w:jc w:val="both"/>
        <w:rPr>
          <w:rFonts w:ascii="Arial" w:hAnsi="Arial" w:cs="Arial"/>
        </w:rPr>
      </w:pPr>
      <w:r>
        <w:rPr>
          <w:rFonts w:ascii="Arial" w:hAnsi="Arial" w:cs="Arial"/>
        </w:rPr>
        <w:t xml:space="preserve">Point 3 sur la possibilité au maire de réaliser des emprunts destinés au financement des investissements ; celui-ci ne fixe pas de limites telles que prévues par l’alinéa 3 du Code général des collectivités. </w:t>
      </w:r>
    </w:p>
    <w:p w14:paraId="0B668368" w14:textId="77777777" w:rsidR="0015099D" w:rsidRDefault="0015099D" w:rsidP="0015099D">
      <w:pPr>
        <w:jc w:val="both"/>
        <w:rPr>
          <w:rFonts w:ascii="Arial" w:hAnsi="Arial" w:cs="Arial"/>
        </w:rPr>
      </w:pPr>
      <w:r>
        <w:rPr>
          <w:rFonts w:ascii="Arial" w:hAnsi="Arial" w:cs="Arial"/>
        </w:rPr>
        <w:t>Point 11 : sur les rémunérations et frais d’honoraires aux professions judiciaires et juridiques dont les avoués ; or ce terme a disparu au 1</w:t>
      </w:r>
      <w:r>
        <w:rPr>
          <w:rFonts w:ascii="Arial" w:hAnsi="Arial" w:cs="Arial"/>
          <w:vertAlign w:val="superscript"/>
        </w:rPr>
        <w:t>er</w:t>
      </w:r>
      <w:r>
        <w:rPr>
          <w:rFonts w:ascii="Arial" w:hAnsi="Arial" w:cs="Arial"/>
        </w:rPr>
        <w:t xml:space="preserve"> janvier 2012 et a été intégré dans celui des avocats. </w:t>
      </w:r>
    </w:p>
    <w:p w14:paraId="76CBEB6B" w14:textId="77777777" w:rsidR="0015099D" w:rsidRDefault="0015099D" w:rsidP="0015099D">
      <w:pPr>
        <w:jc w:val="both"/>
        <w:rPr>
          <w:rFonts w:ascii="Arial" w:hAnsi="Arial" w:cs="Arial"/>
        </w:rPr>
      </w:pPr>
      <w:r>
        <w:rPr>
          <w:rFonts w:ascii="Arial" w:hAnsi="Arial" w:cs="Arial"/>
        </w:rPr>
        <w:t xml:space="preserve">Point 29 : le décret n°2023-523 du 29 juin 2023 relatif au seuil plafond de délégation des décisions d’admission en non-valeur et aux conditions dans lesquelles le maire, le président du conseil départemental et le président du conseil régional rendent compte à l’assemblée délibérante de l’exercice de cette délégation a introduit à l’article D2122-7-2 du Code général des collectivités territoriale le seuil plafond, lequel ne peut être supérieur à 100 euros. </w:t>
      </w:r>
    </w:p>
    <w:p w14:paraId="08136262" w14:textId="77777777" w:rsidR="0015099D" w:rsidRDefault="0015099D" w:rsidP="0015099D">
      <w:pPr>
        <w:jc w:val="both"/>
        <w:rPr>
          <w:rFonts w:ascii="Arial" w:hAnsi="Arial" w:cs="Arial"/>
        </w:rPr>
      </w:pPr>
      <w:r>
        <w:rPr>
          <w:rFonts w:ascii="Arial" w:hAnsi="Arial" w:cs="Arial"/>
        </w:rPr>
        <w:t>Le seuil fixé dans la délibération en date du 02 décembre 2024 est supérieur (300 euros).</w:t>
      </w:r>
    </w:p>
    <w:p w14:paraId="66784B5E" w14:textId="77777777" w:rsidR="0015099D" w:rsidRDefault="0015099D" w:rsidP="0015099D">
      <w:pPr>
        <w:jc w:val="both"/>
        <w:rPr>
          <w:rFonts w:ascii="Arial" w:hAnsi="Arial" w:cs="Arial"/>
        </w:rPr>
      </w:pPr>
      <w:r>
        <w:rPr>
          <w:rFonts w:ascii="Arial" w:hAnsi="Arial" w:cs="Arial"/>
        </w:rPr>
        <w:t xml:space="preserve">Au vu de ces observations, Monsieur le Maire demande à l’assemblée de procéder au retrait de la délibération n°2024-37 en date du 02 décembre 2024 avant de prendre une nouvelle délibération sur les délégations en précisant également au point 3 que la délégation relative au recours à l’emprunt prend fin « dès l’ouverture de la campagne électorale pour le renouvellement du conseil municipal » </w:t>
      </w:r>
    </w:p>
    <w:p w14:paraId="2FF03D13" w14:textId="77777777" w:rsidR="0015099D" w:rsidRDefault="0015099D" w:rsidP="0015099D">
      <w:pPr>
        <w:jc w:val="both"/>
        <w:rPr>
          <w:rFonts w:ascii="Arial" w:hAnsi="Arial" w:cs="Arial"/>
        </w:rPr>
      </w:pPr>
      <w:r>
        <w:rPr>
          <w:rFonts w:ascii="Arial" w:hAnsi="Arial" w:cs="Arial"/>
        </w:rPr>
        <w:t>Après en avoir délibéré et à l’unanimité des membres présents plus deux pouvoirs, le conseil municipal autorise monsieur le maire à retirer la délibération n°2024-037.</w:t>
      </w:r>
    </w:p>
    <w:p w14:paraId="2E63D945" w14:textId="77777777" w:rsidR="0015099D" w:rsidRDefault="0015099D" w:rsidP="0015099D">
      <w:pPr>
        <w:jc w:val="both"/>
        <w:rPr>
          <w:rFonts w:ascii="Arial" w:hAnsi="Arial" w:cs="Arial"/>
        </w:rPr>
      </w:pPr>
    </w:p>
    <w:p w14:paraId="4792FDF7" w14:textId="77777777" w:rsidR="0015099D" w:rsidRDefault="0015099D" w:rsidP="0015099D">
      <w:pPr>
        <w:rPr>
          <w:rFonts w:ascii="Arial" w:hAnsi="Arial" w:cs="Arial"/>
          <w:b/>
          <w:bCs/>
          <w:sz w:val="24"/>
          <w:szCs w:val="24"/>
          <w:u w:val="single"/>
        </w:rPr>
      </w:pPr>
      <w:r>
        <w:rPr>
          <w:rFonts w:ascii="Arial" w:hAnsi="Arial" w:cs="Arial"/>
          <w:b/>
          <w:bCs/>
          <w:sz w:val="24"/>
          <w:szCs w:val="24"/>
          <w:u w:val="single"/>
        </w:rPr>
        <w:t>009</w:t>
      </w:r>
      <w:r>
        <w:rPr>
          <w:rFonts w:ascii="Arial" w:hAnsi="Arial" w:cs="Arial"/>
          <w:u w:val="single"/>
        </w:rPr>
        <w:t xml:space="preserve"> </w:t>
      </w:r>
      <w:r>
        <w:rPr>
          <w:rFonts w:ascii="Arial" w:hAnsi="Arial" w:cs="Arial"/>
          <w:b/>
          <w:bCs/>
          <w:sz w:val="24"/>
          <w:szCs w:val="24"/>
          <w:u w:val="single"/>
        </w:rPr>
        <w:t>DELEGATIONS DU CONSEIL MUNICIPAL AU MAIRE DE CERTAINES DE SES ATTRIBUTIONS</w:t>
      </w:r>
    </w:p>
    <w:p w14:paraId="6D25B4A9" w14:textId="77777777" w:rsidR="0015099D" w:rsidRDefault="0015099D" w:rsidP="0015099D">
      <w:pPr>
        <w:keepNext/>
        <w:jc w:val="both"/>
        <w:outlineLvl w:val="0"/>
        <w:rPr>
          <w:rFonts w:ascii="Arial" w:eastAsia="Times New Roman" w:hAnsi="Arial" w:cs="Arial"/>
        </w:rPr>
      </w:pPr>
      <w:r>
        <w:rPr>
          <w:rFonts w:ascii="Arial" w:eastAsia="Times New Roman" w:hAnsi="Arial" w:cs="Arial"/>
        </w:rPr>
        <w:t>Monsieur le Maire expose :</w:t>
      </w:r>
    </w:p>
    <w:p w14:paraId="5A909F9E" w14:textId="77777777" w:rsidR="0015099D" w:rsidRDefault="0015099D" w:rsidP="0015099D">
      <w:pPr>
        <w:jc w:val="both"/>
        <w:rPr>
          <w:rFonts w:ascii="Arial" w:eastAsia="Times New Roman" w:hAnsi="Arial" w:cs="Arial"/>
        </w:rPr>
      </w:pPr>
      <w:r>
        <w:rPr>
          <w:rFonts w:ascii="Arial" w:eastAsia="Times New Roman" w:hAnsi="Arial" w:cs="Arial"/>
        </w:rPr>
        <w:t>L’article L. 2122-22 du Code Général des Collectivités Territoriales donne au Conseil Municipal la possibilité de déléguer au maire certaines de attributions de cette assemblée.</w:t>
      </w:r>
    </w:p>
    <w:p w14:paraId="794863B6" w14:textId="77777777" w:rsidR="0015099D" w:rsidRDefault="0015099D" w:rsidP="0015099D">
      <w:pPr>
        <w:jc w:val="both"/>
        <w:rPr>
          <w:rFonts w:ascii="Arial" w:eastAsia="Times New Roman" w:hAnsi="Arial" w:cs="Arial"/>
        </w:rPr>
      </w:pPr>
      <w:r>
        <w:rPr>
          <w:rFonts w:ascii="Arial" w:eastAsia="Times New Roman" w:hAnsi="Arial" w:cs="Arial"/>
        </w:rPr>
        <w:lastRenderedPageBreak/>
        <w:t>Afin de faciliter le bon fonctionnement de l’administration communale, je vous invite à examiner cette possibilité et vous prononcer sur ce point.</w:t>
      </w:r>
    </w:p>
    <w:p w14:paraId="69262BDC" w14:textId="77777777" w:rsidR="0015099D" w:rsidRDefault="0015099D" w:rsidP="0015099D">
      <w:pPr>
        <w:jc w:val="both"/>
        <w:rPr>
          <w:rFonts w:ascii="Arial" w:eastAsia="Times New Roman" w:hAnsi="Arial" w:cs="Arial"/>
        </w:rPr>
      </w:pPr>
      <w:r>
        <w:rPr>
          <w:rFonts w:ascii="Arial" w:eastAsia="Times New Roman" w:hAnsi="Arial" w:cs="Arial"/>
        </w:rPr>
        <w:t>Le Conseil Municipal</w:t>
      </w:r>
    </w:p>
    <w:p w14:paraId="786D82BE" w14:textId="77777777" w:rsidR="0015099D" w:rsidRDefault="0015099D" w:rsidP="0015099D">
      <w:pPr>
        <w:jc w:val="both"/>
        <w:rPr>
          <w:rFonts w:ascii="Arial" w:eastAsia="Times New Roman" w:hAnsi="Arial" w:cs="Arial"/>
        </w:rPr>
      </w:pPr>
      <w:r>
        <w:rPr>
          <w:rFonts w:ascii="Arial" w:eastAsia="Times New Roman" w:hAnsi="Arial" w:cs="Arial"/>
        </w:rPr>
        <w:t>Après en avoir délibéré et à l’unanimité des membres présents plus deux pouvoirs</w:t>
      </w:r>
    </w:p>
    <w:p w14:paraId="1C3D9B7A" w14:textId="77777777" w:rsidR="0015099D" w:rsidRDefault="0015099D" w:rsidP="0015099D">
      <w:pPr>
        <w:jc w:val="both"/>
        <w:rPr>
          <w:rFonts w:ascii="Arial" w:eastAsia="Times New Roman" w:hAnsi="Arial" w:cs="Arial"/>
        </w:rPr>
      </w:pPr>
    </w:p>
    <w:p w14:paraId="028252E4" w14:textId="77777777" w:rsidR="0015099D" w:rsidRDefault="0015099D" w:rsidP="0015099D">
      <w:pPr>
        <w:jc w:val="both"/>
        <w:rPr>
          <w:rFonts w:ascii="Arial" w:eastAsia="Times New Roman" w:hAnsi="Arial" w:cs="Arial"/>
        </w:rPr>
      </w:pPr>
      <w:r>
        <w:rPr>
          <w:rFonts w:ascii="Arial" w:eastAsia="Times New Roman" w:hAnsi="Arial" w:cs="Arial"/>
          <w:b/>
        </w:rPr>
        <w:t>DONNE délégation au maire</w:t>
      </w:r>
      <w:r>
        <w:rPr>
          <w:rFonts w:ascii="Arial" w:eastAsia="Times New Roman" w:hAnsi="Arial" w:cs="Arial"/>
        </w:rPr>
        <w:t>, pour la durée de son mandat dans les domaines suivants mentionnés à l’article L. 2122-22 du Code Général des Collectivités territoriales :</w:t>
      </w:r>
    </w:p>
    <w:p w14:paraId="5CB2B7D0" w14:textId="77777777" w:rsidR="0015099D" w:rsidRDefault="0015099D" w:rsidP="0015099D">
      <w:pPr>
        <w:jc w:val="both"/>
        <w:rPr>
          <w:rFonts w:ascii="Futura Lt BT" w:eastAsia="Times New Roman" w:hAnsi="Futura Lt BT" w:cs="Times New Roman"/>
          <w:b/>
          <w:i/>
        </w:rPr>
      </w:pPr>
    </w:p>
    <w:p w14:paraId="4F428F3D" w14:textId="77777777" w:rsidR="0015099D" w:rsidRDefault="0015099D" w:rsidP="0015099D">
      <w:pPr>
        <w:ind w:firstLine="567"/>
        <w:jc w:val="both"/>
        <w:rPr>
          <w:rFonts w:ascii="Arial" w:eastAsia="Times New Roman" w:hAnsi="Arial" w:cs="Arial"/>
        </w:rPr>
      </w:pPr>
      <w:r>
        <w:rPr>
          <w:rFonts w:ascii="Arial" w:eastAsia="Times New Roman" w:hAnsi="Arial" w:cs="Arial"/>
        </w:rPr>
        <w:t>1° d'arrêter et modifier l'affectation des propriétés communales utilisées par les services</w:t>
      </w:r>
    </w:p>
    <w:p w14:paraId="477DFE7C"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publics municipaux ou assimilés ;</w:t>
      </w:r>
    </w:p>
    <w:p w14:paraId="4798C765"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w:t>
      </w:r>
    </w:p>
    <w:p w14:paraId="4B263A31"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2° de fixer, dans la limite de 100 euros par jour les tarifs des droits de voirie, de </w:t>
      </w:r>
    </w:p>
    <w:p w14:paraId="1493551A"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stationnement, de dépôt temporaire sur les voies et autres lieux publics et d'une</w:t>
      </w:r>
    </w:p>
    <w:p w14:paraId="73347E1D"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manière générale des droits au profit de la commune qui n'ont pas un caractère fiscal ; </w:t>
      </w:r>
    </w:p>
    <w:p w14:paraId="3FD71D2A" w14:textId="77777777" w:rsidR="0015099D" w:rsidRDefault="0015099D" w:rsidP="0015099D">
      <w:pPr>
        <w:jc w:val="both"/>
        <w:rPr>
          <w:rFonts w:ascii="Futura Lt BT" w:eastAsia="Times New Roman" w:hAnsi="Futura Lt BT" w:cs="Tahoma"/>
          <w:b/>
          <w:i/>
          <w:u w:val="single"/>
        </w:rPr>
      </w:pPr>
    </w:p>
    <w:p w14:paraId="3A86AD33" w14:textId="77777777" w:rsidR="0015099D" w:rsidRDefault="0015099D" w:rsidP="0015099D">
      <w:pPr>
        <w:ind w:firstLine="567"/>
        <w:jc w:val="both"/>
        <w:rPr>
          <w:rFonts w:ascii="Arial" w:eastAsia="Times New Roman" w:hAnsi="Arial" w:cs="Arial"/>
        </w:rPr>
      </w:pPr>
      <w:r>
        <w:rPr>
          <w:rFonts w:ascii="Arial" w:eastAsia="Times New Roman" w:hAnsi="Arial" w:cs="Arial"/>
        </w:rPr>
        <w:t>3° de procéder dans les limites de 50 000 € à la réalisation des emprunts destinés au</w:t>
      </w:r>
    </w:p>
    <w:p w14:paraId="5BAF484E"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financement des investissements prévus par le budget et aux opérations financières </w:t>
      </w:r>
    </w:p>
    <w:p w14:paraId="6E75BCD0"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utiles à la gestion des emprunts y compris les opérations de couverture des risques</w:t>
      </w:r>
    </w:p>
    <w:p w14:paraId="35D967A8"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de taux et de change ainsi que prendre les décisions mentionnées au III de l'article L. </w:t>
      </w:r>
    </w:p>
    <w:p w14:paraId="706A67AD"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1618-2 et au « a » de l'article L. 2221-5-1, sous réserve des dispositions du « c » de  </w:t>
      </w:r>
    </w:p>
    <w:p w14:paraId="3D185B46"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ce même article, et de passer à cet effet les actes nécessaires ; étant précisé que cette</w:t>
      </w:r>
    </w:p>
    <w:p w14:paraId="6A7256FB"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délégation prendra fin dès l’ouverture de la campagne électorale pour le </w:t>
      </w:r>
    </w:p>
    <w:p w14:paraId="3F7FD11F"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renouvellement du conseil municipal ;</w:t>
      </w:r>
    </w:p>
    <w:p w14:paraId="2586685B" w14:textId="77777777" w:rsidR="0015099D" w:rsidRDefault="0015099D" w:rsidP="0015099D">
      <w:pPr>
        <w:jc w:val="both"/>
        <w:rPr>
          <w:rFonts w:ascii="Arial" w:eastAsia="Times New Roman" w:hAnsi="Arial" w:cs="Arial"/>
          <w:b/>
          <w:i/>
          <w:u w:val="single"/>
        </w:rPr>
      </w:pPr>
    </w:p>
    <w:p w14:paraId="305E3996" w14:textId="77777777" w:rsidR="0015099D" w:rsidRDefault="0015099D" w:rsidP="0015099D">
      <w:pPr>
        <w:ind w:firstLine="567"/>
        <w:jc w:val="both"/>
        <w:rPr>
          <w:rFonts w:ascii="Arial" w:eastAsia="Times New Roman" w:hAnsi="Arial" w:cs="Arial"/>
          <w:lang w:eastAsia="en-US"/>
        </w:rPr>
      </w:pPr>
      <w:r>
        <w:rPr>
          <w:rFonts w:ascii="Arial" w:eastAsia="Times New Roman" w:hAnsi="Arial" w:cs="Arial"/>
          <w:lang w:eastAsia="en-US"/>
        </w:rPr>
        <w:t xml:space="preserve">4° De prendre toute décision concernant la préparation, la passation, l’exécution et le </w:t>
      </w:r>
    </w:p>
    <w:p w14:paraId="29D3F0C2" w14:textId="77777777" w:rsidR="0015099D" w:rsidRDefault="0015099D" w:rsidP="0015099D">
      <w:pPr>
        <w:ind w:firstLine="567"/>
        <w:jc w:val="both"/>
        <w:rPr>
          <w:rFonts w:ascii="Arial" w:eastAsia="Times New Roman" w:hAnsi="Arial" w:cs="Arial"/>
          <w:lang w:eastAsia="en-US"/>
        </w:rPr>
      </w:pPr>
      <w:r>
        <w:rPr>
          <w:rFonts w:ascii="Arial" w:eastAsia="Times New Roman" w:hAnsi="Arial" w:cs="Arial"/>
          <w:lang w:eastAsia="en-US"/>
        </w:rPr>
        <w:t xml:space="preserve">     règlement des marchés et des accords-cadres ainsi que toute décision concernant</w:t>
      </w:r>
    </w:p>
    <w:p w14:paraId="42C7FDF8" w14:textId="77777777" w:rsidR="0015099D" w:rsidRDefault="0015099D" w:rsidP="0015099D">
      <w:pPr>
        <w:tabs>
          <w:tab w:val="left" w:pos="851"/>
        </w:tabs>
        <w:ind w:firstLine="567"/>
        <w:jc w:val="both"/>
        <w:rPr>
          <w:rFonts w:ascii="Arial" w:eastAsia="Times New Roman" w:hAnsi="Arial" w:cs="Arial"/>
          <w:lang w:eastAsia="en-US"/>
        </w:rPr>
      </w:pPr>
      <w:r>
        <w:rPr>
          <w:rFonts w:ascii="Arial" w:eastAsia="Times New Roman" w:hAnsi="Arial" w:cs="Arial"/>
          <w:lang w:eastAsia="en-US"/>
        </w:rPr>
        <w:t xml:space="preserve">     leurs avenants lorsque les crédits sont inscrits au budget. »</w:t>
      </w:r>
    </w:p>
    <w:p w14:paraId="0D66F57A" w14:textId="77777777" w:rsidR="0015099D" w:rsidRDefault="0015099D" w:rsidP="0015099D">
      <w:pPr>
        <w:ind w:firstLine="567"/>
        <w:jc w:val="both"/>
        <w:rPr>
          <w:rFonts w:ascii="Arial" w:eastAsia="Times New Roman" w:hAnsi="Arial" w:cs="Arial"/>
        </w:rPr>
      </w:pPr>
    </w:p>
    <w:p w14:paraId="41E40FC1" w14:textId="77777777" w:rsidR="0015099D" w:rsidRDefault="0015099D" w:rsidP="0015099D">
      <w:pPr>
        <w:ind w:firstLine="567"/>
        <w:jc w:val="both"/>
        <w:rPr>
          <w:rFonts w:ascii="Arial" w:eastAsia="Times New Roman" w:hAnsi="Arial" w:cs="Arial"/>
        </w:rPr>
      </w:pPr>
      <w:r>
        <w:rPr>
          <w:rFonts w:ascii="Arial" w:eastAsia="Times New Roman" w:hAnsi="Arial" w:cs="Arial"/>
        </w:rPr>
        <w:t>5° de décider de la conclusion et de la révision du louage de choses pour une durée</w:t>
      </w:r>
    </w:p>
    <w:p w14:paraId="653D2F0F"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n'excédant pas douze ans ; </w:t>
      </w:r>
    </w:p>
    <w:p w14:paraId="77434B61" w14:textId="77777777" w:rsidR="0015099D" w:rsidRDefault="0015099D" w:rsidP="0015099D">
      <w:pPr>
        <w:ind w:firstLine="567"/>
        <w:jc w:val="both"/>
        <w:rPr>
          <w:rFonts w:ascii="Arial" w:eastAsia="Times New Roman" w:hAnsi="Arial" w:cs="Arial"/>
        </w:rPr>
      </w:pPr>
    </w:p>
    <w:p w14:paraId="6BAFCEE2" w14:textId="77777777" w:rsidR="0015099D" w:rsidRDefault="0015099D" w:rsidP="0015099D">
      <w:pPr>
        <w:ind w:firstLine="567"/>
        <w:jc w:val="both"/>
        <w:rPr>
          <w:rFonts w:ascii="Arial" w:eastAsia="Times New Roman" w:hAnsi="Arial" w:cs="Arial"/>
        </w:rPr>
      </w:pPr>
      <w:r>
        <w:rPr>
          <w:rFonts w:ascii="Arial" w:eastAsia="Times New Roman" w:hAnsi="Arial" w:cs="Arial"/>
        </w:rPr>
        <w:t>6° de passer les contrats d'assurance ainsi que d’accepter les indemnités de sinistre y</w:t>
      </w:r>
    </w:p>
    <w:p w14:paraId="52A09DAD" w14:textId="77777777" w:rsidR="0015099D" w:rsidRDefault="0015099D" w:rsidP="0015099D">
      <w:pPr>
        <w:jc w:val="both"/>
        <w:rPr>
          <w:rFonts w:ascii="Arial" w:eastAsia="Times New Roman" w:hAnsi="Arial" w:cs="Arial"/>
        </w:rPr>
      </w:pPr>
      <w:r>
        <w:rPr>
          <w:rFonts w:ascii="Arial" w:eastAsia="Times New Roman" w:hAnsi="Arial" w:cs="Arial"/>
        </w:rPr>
        <w:t xml:space="preserve">             afférentes ;</w:t>
      </w:r>
    </w:p>
    <w:p w14:paraId="76CDCD23"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w:t>
      </w:r>
    </w:p>
    <w:p w14:paraId="5043A901"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7° de créer, modifier ou supprimer les régies comptables nécessaires au fonctionnement </w:t>
      </w:r>
    </w:p>
    <w:p w14:paraId="4EB77DC7"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des services municipaux ; </w:t>
      </w:r>
    </w:p>
    <w:p w14:paraId="4C5CAB0D" w14:textId="6C877220" w:rsidR="0015099D" w:rsidRDefault="0015099D" w:rsidP="0015099D">
      <w:pPr>
        <w:tabs>
          <w:tab w:val="left" w:pos="6780"/>
        </w:tabs>
        <w:rPr>
          <w:rFonts w:ascii="Arial" w:eastAsia="Times New Roman" w:hAnsi="Arial" w:cs="Arial"/>
        </w:rPr>
      </w:pPr>
    </w:p>
    <w:p w14:paraId="1A1AF95A"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8° de prononcer la délivrance et la reprise des concessions dans les cimetières ; </w:t>
      </w:r>
    </w:p>
    <w:p w14:paraId="17DCAD31" w14:textId="77777777" w:rsidR="0015099D" w:rsidRDefault="0015099D" w:rsidP="0015099D">
      <w:pPr>
        <w:ind w:firstLine="567"/>
        <w:jc w:val="both"/>
        <w:rPr>
          <w:rFonts w:ascii="Arial" w:eastAsia="Times New Roman" w:hAnsi="Arial" w:cs="Arial"/>
        </w:rPr>
      </w:pPr>
    </w:p>
    <w:p w14:paraId="07ECECD2"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9° d'accepter les dons et legs qui ne sont ni grevés ni de conditions ni de charges ; </w:t>
      </w:r>
    </w:p>
    <w:p w14:paraId="2745FAB9" w14:textId="77777777" w:rsidR="0015099D" w:rsidRDefault="0015099D" w:rsidP="0015099D">
      <w:pPr>
        <w:jc w:val="both"/>
        <w:rPr>
          <w:rFonts w:ascii="Arial" w:eastAsia="Times New Roman" w:hAnsi="Arial" w:cs="Arial"/>
        </w:rPr>
      </w:pPr>
    </w:p>
    <w:p w14:paraId="42B05B28"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10° de décider l'aliénation de gré à gré de biens mobiliers jusqu'à 4 600 euros ; </w:t>
      </w:r>
    </w:p>
    <w:p w14:paraId="02A5E01B" w14:textId="77777777" w:rsidR="0015099D" w:rsidRDefault="0015099D" w:rsidP="0015099D">
      <w:pPr>
        <w:ind w:firstLine="567"/>
        <w:jc w:val="both"/>
        <w:rPr>
          <w:rFonts w:ascii="Arial" w:eastAsia="Times New Roman" w:hAnsi="Arial" w:cs="Arial"/>
        </w:rPr>
      </w:pPr>
    </w:p>
    <w:p w14:paraId="309325BB"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11° de fixer les rémunérations et régler les frais d'honoraires des avocats, notaires,  </w:t>
      </w:r>
    </w:p>
    <w:p w14:paraId="181B3A13"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huissiers de justice et experts ; </w:t>
      </w:r>
    </w:p>
    <w:p w14:paraId="678FABCA" w14:textId="77777777" w:rsidR="0015099D" w:rsidRDefault="0015099D" w:rsidP="0015099D">
      <w:pPr>
        <w:ind w:firstLine="567"/>
        <w:jc w:val="both"/>
        <w:rPr>
          <w:rFonts w:ascii="Arial" w:eastAsia="Times New Roman" w:hAnsi="Arial" w:cs="Arial"/>
        </w:rPr>
      </w:pPr>
    </w:p>
    <w:p w14:paraId="0DBE49C4" w14:textId="77777777" w:rsidR="0015099D" w:rsidRDefault="0015099D" w:rsidP="0015099D">
      <w:pPr>
        <w:ind w:firstLine="567"/>
        <w:jc w:val="both"/>
        <w:rPr>
          <w:rFonts w:ascii="Arial" w:eastAsia="Times New Roman" w:hAnsi="Arial" w:cs="Arial"/>
        </w:rPr>
      </w:pPr>
      <w:r>
        <w:rPr>
          <w:rFonts w:ascii="Arial" w:eastAsia="Times New Roman" w:hAnsi="Arial" w:cs="Arial"/>
        </w:rPr>
        <w:t>12° de fixer dans les limites de l'estimation des services fiscaux (domaines), le montant</w:t>
      </w:r>
    </w:p>
    <w:p w14:paraId="58208E76"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des offres de la commune à notifier aux expropriés et répondre à leurs demandes ; </w:t>
      </w:r>
    </w:p>
    <w:p w14:paraId="74062FC9" w14:textId="77777777" w:rsidR="0015099D" w:rsidRDefault="0015099D" w:rsidP="0015099D">
      <w:pPr>
        <w:ind w:firstLine="567"/>
        <w:jc w:val="both"/>
        <w:rPr>
          <w:rFonts w:ascii="Arial" w:eastAsia="Times New Roman" w:hAnsi="Arial" w:cs="Arial"/>
        </w:rPr>
      </w:pPr>
    </w:p>
    <w:p w14:paraId="2C6439F1"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13° de décider de la création de classes dans les établissements d'enseignement ; </w:t>
      </w:r>
    </w:p>
    <w:p w14:paraId="1C0F9936" w14:textId="77777777" w:rsidR="0015099D" w:rsidRDefault="0015099D" w:rsidP="0015099D">
      <w:pPr>
        <w:ind w:firstLine="567"/>
        <w:jc w:val="both"/>
        <w:rPr>
          <w:rFonts w:ascii="Arial" w:eastAsia="Times New Roman" w:hAnsi="Arial" w:cs="Arial"/>
        </w:rPr>
      </w:pPr>
    </w:p>
    <w:p w14:paraId="1D756B1C"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14. de fixer les reprises d'alignement en application des documents d'urbanisme ; </w:t>
      </w:r>
    </w:p>
    <w:p w14:paraId="3C9AD761" w14:textId="77777777" w:rsidR="0015099D" w:rsidRDefault="0015099D" w:rsidP="0015099D">
      <w:pPr>
        <w:ind w:firstLine="567"/>
        <w:jc w:val="both"/>
        <w:rPr>
          <w:rFonts w:ascii="Arial" w:eastAsia="Times New Roman" w:hAnsi="Arial" w:cs="Arial"/>
        </w:rPr>
      </w:pPr>
    </w:p>
    <w:p w14:paraId="1B4585A6"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15° d'exercer, au nom de la commune, les droits de préemption définis par le Code de </w:t>
      </w:r>
    </w:p>
    <w:p w14:paraId="5524E9E0" w14:textId="77777777" w:rsidR="0015099D" w:rsidRDefault="0015099D" w:rsidP="0015099D">
      <w:pPr>
        <w:ind w:firstLine="567"/>
        <w:jc w:val="both"/>
        <w:rPr>
          <w:rFonts w:ascii="Arial" w:eastAsia="Times New Roman" w:hAnsi="Arial" w:cs="Arial"/>
        </w:rPr>
      </w:pPr>
      <w:r>
        <w:rPr>
          <w:rFonts w:ascii="Arial" w:eastAsia="Times New Roman" w:hAnsi="Arial" w:cs="Arial"/>
        </w:rPr>
        <w:lastRenderedPageBreak/>
        <w:t xml:space="preserve">       l'urbanisme que la commune en soit titulaire ou délégataire, déléguer l'exercice de</w:t>
      </w:r>
    </w:p>
    <w:p w14:paraId="042D158A"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ces droits à l'occasion de l'aliénation d'un bien selon les dispositions prévues à</w:t>
      </w:r>
    </w:p>
    <w:p w14:paraId="509FF678"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l’article L 211-2 au premier alinéa de l'article L. 213-3 de ce même code dans les </w:t>
      </w:r>
    </w:p>
    <w:p w14:paraId="23BF414C"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limites des crédits votés à cet effet par le conseil municipal et dans la limite de</w:t>
      </w:r>
    </w:p>
    <w:p w14:paraId="7B38C311"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l’estimation financière du bien immobilier réalisée par les services fiscaux ;</w:t>
      </w:r>
    </w:p>
    <w:p w14:paraId="4BA067CC" w14:textId="77777777" w:rsidR="0015099D" w:rsidRDefault="0015099D" w:rsidP="0015099D">
      <w:pPr>
        <w:ind w:firstLine="567"/>
        <w:jc w:val="both"/>
        <w:rPr>
          <w:rFonts w:ascii="Arial" w:eastAsia="Times New Roman" w:hAnsi="Arial" w:cs="Arial"/>
        </w:rPr>
      </w:pPr>
    </w:p>
    <w:p w14:paraId="63BAEA6E" w14:textId="77777777" w:rsidR="0015099D" w:rsidRDefault="0015099D" w:rsidP="0015099D">
      <w:pPr>
        <w:ind w:firstLine="567"/>
        <w:jc w:val="both"/>
        <w:rPr>
          <w:rFonts w:ascii="Arial" w:eastAsia="Times New Roman" w:hAnsi="Arial" w:cs="Arial"/>
        </w:rPr>
      </w:pPr>
      <w:r>
        <w:rPr>
          <w:rFonts w:ascii="Arial" w:eastAsia="Times New Roman" w:hAnsi="Arial" w:cs="Arial"/>
        </w:rPr>
        <w:t>16°</w:t>
      </w:r>
      <w:r>
        <w:rPr>
          <w:rFonts w:ascii="Arial" w:eastAsia="Times New Roman" w:hAnsi="Arial" w:cs="Arial"/>
          <w:i/>
        </w:rPr>
        <w:t xml:space="preserve"> </w:t>
      </w:r>
      <w:r>
        <w:rPr>
          <w:rFonts w:ascii="Arial" w:eastAsia="Times New Roman" w:hAnsi="Arial" w:cs="Arial"/>
        </w:rPr>
        <w:t xml:space="preserve">d'intenter au nom de la commune toute action en justice ou défendre la commune et </w:t>
      </w:r>
    </w:p>
    <w:p w14:paraId="14C05854"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ce :</w:t>
      </w:r>
    </w:p>
    <w:p w14:paraId="3209443E" w14:textId="77777777" w:rsidR="0015099D" w:rsidRPr="0015099D" w:rsidRDefault="0015099D" w:rsidP="0015099D">
      <w:pPr>
        <w:pStyle w:val="Paragraphedeliste"/>
        <w:numPr>
          <w:ilvl w:val="0"/>
          <w:numId w:val="2"/>
        </w:numPr>
        <w:jc w:val="both"/>
        <w:rPr>
          <w:rFonts w:ascii="Arial" w:eastAsia="Times New Roman" w:hAnsi="Arial" w:cs="Arial"/>
        </w:rPr>
      </w:pPr>
      <w:r w:rsidRPr="0015099D">
        <w:rPr>
          <w:rFonts w:ascii="Arial" w:eastAsia="Times New Roman" w:hAnsi="Arial" w:cs="Arial"/>
        </w:rPr>
        <w:t>Dans les actions intentées contre elle, dans les procédures contentieuses portées devant les tribunaux administratifs et judiciaires, en première instance et en appel, et de transiger avec les tiers dans la limite de 1 000 €.</w:t>
      </w:r>
    </w:p>
    <w:p w14:paraId="288BBB11" w14:textId="77777777" w:rsidR="0015099D" w:rsidRPr="0015099D" w:rsidRDefault="0015099D" w:rsidP="0015099D">
      <w:pPr>
        <w:pStyle w:val="Paragraphedeliste"/>
        <w:numPr>
          <w:ilvl w:val="0"/>
          <w:numId w:val="2"/>
        </w:numPr>
        <w:jc w:val="both"/>
        <w:rPr>
          <w:rFonts w:ascii="Arial" w:eastAsia="Times New Roman" w:hAnsi="Arial" w:cs="Arial"/>
        </w:rPr>
      </w:pPr>
      <w:r w:rsidRPr="0015099D">
        <w:rPr>
          <w:rFonts w:ascii="Arial" w:eastAsia="Times New Roman" w:hAnsi="Arial" w:cs="Arial"/>
        </w:rPr>
        <w:t xml:space="preserve">La présente délégation autorise M. le Maire à intervenir dans toute procédure de résolution amiable d’un litige et dans toutes les procédures alternatives aux poursuites traditionnelles. A ce titre, M. le Maire est autorisé à lancer toute négociation permettant d’aboutir à la résolution amiable et à représenter la commune devant toute instance de résolution amiable. </w:t>
      </w:r>
    </w:p>
    <w:p w14:paraId="13944C07" w14:textId="77777777" w:rsidR="0015099D" w:rsidRPr="0015099D" w:rsidRDefault="0015099D" w:rsidP="0015099D">
      <w:pPr>
        <w:pStyle w:val="Paragraphedeliste"/>
        <w:numPr>
          <w:ilvl w:val="0"/>
          <w:numId w:val="2"/>
        </w:numPr>
        <w:jc w:val="both"/>
        <w:rPr>
          <w:rFonts w:ascii="Arial" w:eastAsia="Times New Roman" w:hAnsi="Arial" w:cs="Arial"/>
        </w:rPr>
      </w:pPr>
      <w:r w:rsidRPr="0015099D">
        <w:rPr>
          <w:rFonts w:ascii="Arial" w:eastAsia="Times New Roman" w:hAnsi="Arial" w:cs="Arial"/>
        </w:rPr>
        <w:t>La présente délégation n’autorise pas la conclusion définitive de l’acte mettant fin au litige (transaction ou arbitrage, etc…) celle-ci restant de la compétence du Conseil Municipal ;</w:t>
      </w:r>
    </w:p>
    <w:p w14:paraId="3B355BA5" w14:textId="77777777" w:rsidR="0015099D" w:rsidRDefault="0015099D" w:rsidP="0015099D">
      <w:pPr>
        <w:jc w:val="both"/>
        <w:rPr>
          <w:rFonts w:ascii="Futura Lt BT" w:eastAsia="Times New Roman" w:hAnsi="Futura Lt BT" w:cs="Times New Roman"/>
        </w:rPr>
      </w:pPr>
    </w:p>
    <w:p w14:paraId="09099E23"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17° de régler les conséquences dommageables des accidents dans lesquels sont </w:t>
      </w:r>
    </w:p>
    <w:p w14:paraId="51046C58"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impliqués les véhicules municipaux dans la limite de 25 000 euros.</w:t>
      </w:r>
    </w:p>
    <w:p w14:paraId="31BD5EAF" w14:textId="77777777" w:rsidR="0015099D" w:rsidRDefault="0015099D" w:rsidP="0015099D">
      <w:pPr>
        <w:jc w:val="both"/>
        <w:rPr>
          <w:rFonts w:ascii="Arial" w:eastAsia="Times New Roman" w:hAnsi="Arial" w:cs="Arial"/>
          <w:b/>
          <w:i/>
          <w:u w:val="single"/>
        </w:rPr>
      </w:pPr>
    </w:p>
    <w:p w14:paraId="48E63CEF"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18° de donner, en application de l'article L. 324-1 du Code de l'urbanisme, l'avis de la </w:t>
      </w:r>
    </w:p>
    <w:p w14:paraId="43BC831A"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commune préalablement aux opérations menées par un établissement public </w:t>
      </w:r>
    </w:p>
    <w:p w14:paraId="31FE53F6"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foncier ; </w:t>
      </w:r>
    </w:p>
    <w:p w14:paraId="04E7E434" w14:textId="77777777" w:rsidR="0015099D" w:rsidRDefault="0015099D" w:rsidP="0015099D">
      <w:pPr>
        <w:ind w:firstLine="567"/>
        <w:jc w:val="both"/>
        <w:rPr>
          <w:rFonts w:ascii="Arial" w:eastAsia="Times New Roman" w:hAnsi="Arial" w:cs="Arial"/>
        </w:rPr>
      </w:pPr>
    </w:p>
    <w:p w14:paraId="4F2A5E94"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19° de signer la convention, prévue par l'article L. 311-4 alinéa 4 du Code de l'urbanisme </w:t>
      </w:r>
    </w:p>
    <w:p w14:paraId="277B3CBE"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précisant les conditions dans lesquelles un constructeur participe au coût </w:t>
      </w:r>
    </w:p>
    <w:p w14:paraId="3DD60ADB"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d'équipement d'une zone d'aménagement concertée et de signer la convention </w:t>
      </w:r>
    </w:p>
    <w:p w14:paraId="576B587C"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prévue par l'article L. 332-11-2 du code précité (dans sa rédaction antérieure à la loi </w:t>
      </w:r>
    </w:p>
    <w:p w14:paraId="4C2E8096"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n° 2014-1655 du 29/12/2014 de finances rectificative pour 2014) précisant les</w:t>
      </w:r>
    </w:p>
    <w:p w14:paraId="2F07D7C7"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conditions dans lesquelles un propriétaire peut verser la participation pour voie et </w:t>
      </w:r>
    </w:p>
    <w:p w14:paraId="5AEDCC9A"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réseaux ; </w:t>
      </w:r>
    </w:p>
    <w:p w14:paraId="6FCF0B94" w14:textId="77777777" w:rsidR="0015099D" w:rsidRDefault="0015099D" w:rsidP="0015099D">
      <w:pPr>
        <w:ind w:firstLine="567"/>
        <w:jc w:val="both"/>
        <w:rPr>
          <w:rFonts w:ascii="Arial" w:eastAsia="Times New Roman" w:hAnsi="Arial" w:cs="Arial"/>
        </w:rPr>
      </w:pPr>
    </w:p>
    <w:p w14:paraId="10B5B936"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20° de réaliser les lignes de trésorerie sur la base d'un montant maximal annuel de </w:t>
      </w:r>
    </w:p>
    <w:p w14:paraId="268F0F4E"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100 000 euros.</w:t>
      </w:r>
    </w:p>
    <w:p w14:paraId="594AF023" w14:textId="77777777" w:rsidR="0015099D" w:rsidRDefault="0015099D" w:rsidP="0015099D">
      <w:pPr>
        <w:jc w:val="both"/>
        <w:rPr>
          <w:rFonts w:ascii="Arial" w:eastAsia="Times New Roman" w:hAnsi="Arial" w:cs="Arial"/>
          <w:b/>
          <w:i/>
          <w:u w:val="single"/>
        </w:rPr>
      </w:pPr>
    </w:p>
    <w:p w14:paraId="2AEB4F86" w14:textId="77777777" w:rsidR="0015099D" w:rsidRDefault="0015099D" w:rsidP="0015099D">
      <w:pPr>
        <w:jc w:val="both"/>
        <w:rPr>
          <w:rFonts w:ascii="Arial" w:eastAsia="Times New Roman" w:hAnsi="Arial" w:cs="Arial"/>
        </w:rPr>
      </w:pPr>
      <w:r>
        <w:rPr>
          <w:rFonts w:ascii="Arial" w:eastAsia="Times New Roman" w:hAnsi="Arial" w:cs="Arial"/>
          <w:b/>
          <w:bCs/>
        </w:rPr>
        <w:t xml:space="preserve">        </w:t>
      </w:r>
      <w:r>
        <w:rPr>
          <w:rFonts w:ascii="Arial" w:eastAsia="Times New Roman" w:hAnsi="Arial" w:cs="Arial"/>
        </w:rPr>
        <w:t>21° d'exercer ou de déléguer, en application de l'article L. 214-1 du Code de l'urbanisme,</w:t>
      </w:r>
    </w:p>
    <w:p w14:paraId="2056953C" w14:textId="77777777" w:rsidR="0015099D" w:rsidRDefault="0015099D" w:rsidP="0015099D">
      <w:pPr>
        <w:jc w:val="both"/>
        <w:rPr>
          <w:rFonts w:ascii="Arial" w:eastAsia="Times New Roman" w:hAnsi="Arial" w:cs="Arial"/>
        </w:rPr>
      </w:pPr>
      <w:r>
        <w:rPr>
          <w:rFonts w:ascii="Arial" w:eastAsia="Times New Roman" w:hAnsi="Arial" w:cs="Arial"/>
        </w:rPr>
        <w:t xml:space="preserve">              au nom de la commune et dans la limite de 150 000.00 euros par an au maximum, le</w:t>
      </w:r>
    </w:p>
    <w:p w14:paraId="34A7D233" w14:textId="77777777" w:rsidR="0015099D" w:rsidRDefault="0015099D" w:rsidP="0015099D">
      <w:pPr>
        <w:jc w:val="both"/>
        <w:rPr>
          <w:rFonts w:ascii="Arial" w:eastAsia="Times New Roman" w:hAnsi="Arial" w:cs="Arial"/>
          <w:b/>
          <w:i/>
          <w:u w:val="single"/>
        </w:rPr>
      </w:pPr>
      <w:r>
        <w:rPr>
          <w:rFonts w:ascii="Arial" w:eastAsia="Times New Roman" w:hAnsi="Arial" w:cs="Arial"/>
        </w:rPr>
        <w:t xml:space="preserve">                droit de préemption défini par l’article L.214-1 du même code ;</w:t>
      </w:r>
    </w:p>
    <w:p w14:paraId="2537B93C" w14:textId="77777777" w:rsidR="0015099D" w:rsidRDefault="0015099D" w:rsidP="0015099D">
      <w:pPr>
        <w:ind w:firstLine="567"/>
        <w:jc w:val="both"/>
        <w:rPr>
          <w:rFonts w:ascii="Arial" w:eastAsia="Times New Roman" w:hAnsi="Arial" w:cs="Arial"/>
        </w:rPr>
      </w:pPr>
    </w:p>
    <w:p w14:paraId="65C9E9F1" w14:textId="77777777" w:rsidR="0015099D" w:rsidRDefault="0015099D" w:rsidP="0015099D">
      <w:pPr>
        <w:ind w:firstLine="567"/>
        <w:jc w:val="both"/>
        <w:rPr>
          <w:rFonts w:ascii="Arial" w:eastAsia="Times New Roman" w:hAnsi="Arial" w:cs="Arial"/>
        </w:rPr>
      </w:pPr>
      <w:r>
        <w:rPr>
          <w:rFonts w:ascii="Arial" w:eastAsia="Times New Roman" w:hAnsi="Arial" w:cs="Arial"/>
        </w:rPr>
        <w:t>22° d'exercer au nom de la commune le droit de priorité défini aux articles L. 240-1 à L.</w:t>
      </w:r>
    </w:p>
    <w:p w14:paraId="0E20B6C5"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240-3 du Code de l'urbanisme ou de déléguer l’exercice de ce droit en application </w:t>
      </w:r>
    </w:p>
    <w:p w14:paraId="18104C7B" w14:textId="77777777" w:rsidR="0015099D" w:rsidRDefault="0015099D" w:rsidP="0015099D">
      <w:pPr>
        <w:ind w:firstLine="567"/>
        <w:jc w:val="both"/>
        <w:rPr>
          <w:rFonts w:ascii="Arial" w:eastAsia="Times New Roman" w:hAnsi="Arial" w:cs="Arial"/>
          <w:b/>
          <w:i/>
          <w:u w:val="single"/>
        </w:rPr>
      </w:pPr>
      <w:r>
        <w:rPr>
          <w:rFonts w:ascii="Arial" w:eastAsia="Times New Roman" w:hAnsi="Arial" w:cs="Arial"/>
        </w:rPr>
        <w:t xml:space="preserve">      des mêmes articles dans la limite de 150 000.00 euros par an au maximum ;</w:t>
      </w:r>
    </w:p>
    <w:p w14:paraId="4452C4E7" w14:textId="77777777" w:rsidR="0015099D" w:rsidRDefault="0015099D" w:rsidP="0015099D">
      <w:pPr>
        <w:jc w:val="both"/>
        <w:rPr>
          <w:rFonts w:ascii="Arial" w:eastAsia="Times New Roman" w:hAnsi="Arial" w:cs="Arial"/>
          <w:b/>
          <w:i/>
          <w:u w:val="single"/>
        </w:rPr>
      </w:pPr>
    </w:p>
    <w:p w14:paraId="3658B0EE"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23° de prendre les décisions mentionnées aux articles L. 523-4 et L. 523-5 du Code du </w:t>
      </w:r>
    </w:p>
    <w:p w14:paraId="03885A3B"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patrimoine relatives à la réalisation de diagnostics d'archéologie préventive prescrits </w:t>
      </w:r>
    </w:p>
    <w:p w14:paraId="20FA2CA7"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pour les opérations d'aménagement ou de travaux sur le territoire de la commune ;</w:t>
      </w:r>
    </w:p>
    <w:p w14:paraId="388FC462" w14:textId="77777777" w:rsidR="0015099D" w:rsidRDefault="0015099D" w:rsidP="0015099D">
      <w:pPr>
        <w:ind w:firstLine="567"/>
        <w:jc w:val="both"/>
        <w:rPr>
          <w:rFonts w:ascii="Arial" w:eastAsia="Times New Roman" w:hAnsi="Arial" w:cs="Arial"/>
        </w:rPr>
      </w:pPr>
    </w:p>
    <w:p w14:paraId="7E6DA28A" w14:textId="77777777" w:rsidR="0015099D" w:rsidRDefault="0015099D" w:rsidP="0015099D">
      <w:pPr>
        <w:ind w:firstLine="567"/>
        <w:jc w:val="both"/>
        <w:rPr>
          <w:rFonts w:ascii="Arial" w:eastAsia="Times New Roman" w:hAnsi="Arial" w:cs="Arial"/>
        </w:rPr>
      </w:pPr>
      <w:r>
        <w:rPr>
          <w:rFonts w:ascii="Arial" w:eastAsia="Times New Roman" w:hAnsi="Arial" w:cs="Arial"/>
        </w:rPr>
        <w:t>24° d'autoriser au nom de la commune, le renouvellement de l'adhésion aux associations</w:t>
      </w:r>
    </w:p>
    <w:p w14:paraId="4F017826"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dont elle est membre.</w:t>
      </w:r>
    </w:p>
    <w:p w14:paraId="066B38ED" w14:textId="77777777" w:rsidR="0015099D" w:rsidRDefault="0015099D" w:rsidP="0015099D">
      <w:pPr>
        <w:jc w:val="both"/>
        <w:rPr>
          <w:rFonts w:ascii="Arial" w:eastAsia="Times New Roman" w:hAnsi="Arial" w:cs="Arial"/>
        </w:rPr>
      </w:pPr>
      <w:r>
        <w:rPr>
          <w:rFonts w:ascii="Arial" w:eastAsia="Times New Roman" w:hAnsi="Arial" w:cs="Arial"/>
        </w:rPr>
        <w:t xml:space="preserve"> </w:t>
      </w:r>
    </w:p>
    <w:p w14:paraId="5A739DE2"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25° de demander à tout organisme financeur, dans la limite du montant prévisionnel </w:t>
      </w:r>
    </w:p>
    <w:p w14:paraId="207CD360"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prévu au budget pour l’opération concernée, l’attribution de subvention ;</w:t>
      </w:r>
    </w:p>
    <w:p w14:paraId="6FC5CF68" w14:textId="77777777" w:rsidR="0015099D" w:rsidRDefault="0015099D" w:rsidP="0015099D">
      <w:pPr>
        <w:ind w:firstLine="567"/>
        <w:jc w:val="both"/>
        <w:rPr>
          <w:rFonts w:ascii="Arial" w:eastAsia="Times New Roman" w:hAnsi="Arial" w:cs="Arial"/>
        </w:rPr>
      </w:pPr>
    </w:p>
    <w:p w14:paraId="12B2B834"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26° De procéder, pour toutes les opérations d’intérêt général ne concernant que la </w:t>
      </w:r>
    </w:p>
    <w:p w14:paraId="6D515A43"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commune, au dépôt des demandes d’autorisations d’urbanisme relatives à la</w:t>
      </w:r>
    </w:p>
    <w:p w14:paraId="65009F18"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démolition, à la transformation ou à l’édification des biens uniquement pour les </w:t>
      </w:r>
    </w:p>
    <w:p w14:paraId="63E44524"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opérations inscrites au budget et pour lesquelles le conseil municipal aura approuvé </w:t>
      </w:r>
    </w:p>
    <w:p w14:paraId="473D65B9"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les études d’avant-projet définitif du maître d’œuvre désigné pour l’opération </w:t>
      </w:r>
    </w:p>
    <w:p w14:paraId="19743669" w14:textId="77777777" w:rsidR="0015099D" w:rsidRDefault="0015099D" w:rsidP="0015099D">
      <w:pPr>
        <w:ind w:firstLine="567"/>
        <w:jc w:val="both"/>
        <w:rPr>
          <w:rFonts w:ascii="Arial" w:eastAsia="Times New Roman" w:hAnsi="Arial" w:cs="Arial"/>
          <w:b/>
          <w:i/>
          <w:u w:val="single"/>
        </w:rPr>
      </w:pPr>
      <w:r>
        <w:rPr>
          <w:rFonts w:ascii="Arial" w:eastAsia="Times New Roman" w:hAnsi="Arial" w:cs="Arial"/>
        </w:rPr>
        <w:t xml:space="preserve">      concernée ;</w:t>
      </w:r>
    </w:p>
    <w:p w14:paraId="1A582992" w14:textId="77777777" w:rsidR="0015099D" w:rsidRDefault="0015099D" w:rsidP="0015099D">
      <w:pPr>
        <w:ind w:firstLine="567"/>
        <w:jc w:val="both"/>
        <w:rPr>
          <w:rFonts w:ascii="Arial" w:eastAsia="Times New Roman" w:hAnsi="Arial" w:cs="Arial"/>
        </w:rPr>
      </w:pPr>
    </w:p>
    <w:p w14:paraId="433F8E32" w14:textId="77777777" w:rsidR="0015099D" w:rsidRDefault="0015099D" w:rsidP="0015099D">
      <w:pPr>
        <w:ind w:firstLine="567"/>
        <w:jc w:val="both"/>
        <w:rPr>
          <w:rFonts w:ascii="Arial" w:eastAsia="Times New Roman" w:hAnsi="Arial" w:cs="Arial"/>
        </w:rPr>
      </w:pPr>
      <w:r>
        <w:rPr>
          <w:rFonts w:ascii="Arial" w:eastAsia="Times New Roman" w:hAnsi="Arial" w:cs="Arial"/>
        </w:rPr>
        <w:t>27° D'exercer, au nom de la commune, le droit prévu au I de</w:t>
      </w:r>
    </w:p>
    <w:p w14:paraId="783EEAEE"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w:t>
      </w:r>
      <w:hyperlink r:id="rId5" w:history="1">
        <w:r>
          <w:rPr>
            <w:rStyle w:val="Lienhypertexte"/>
            <w:rFonts w:ascii="Arial" w:eastAsia="Times New Roman" w:hAnsi="Arial" w:cs="Arial"/>
            <w:color w:val="auto"/>
          </w:rPr>
          <w:t xml:space="preserve">l'article 10 de la loi n° 75-1351 du 31 décembre 1975 </w:t>
        </w:r>
      </w:hyperlink>
      <w:r>
        <w:rPr>
          <w:rFonts w:ascii="Arial" w:eastAsia="Times New Roman" w:hAnsi="Arial" w:cs="Arial"/>
        </w:rPr>
        <w:t xml:space="preserve">relative à la protection des </w:t>
      </w:r>
    </w:p>
    <w:p w14:paraId="20C79357"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occupants de locaux à usage d'habitation ;</w:t>
      </w:r>
    </w:p>
    <w:p w14:paraId="236C3338" w14:textId="77777777" w:rsidR="0015099D" w:rsidRDefault="0015099D" w:rsidP="0015099D">
      <w:pPr>
        <w:ind w:firstLine="567"/>
        <w:jc w:val="both"/>
        <w:rPr>
          <w:rFonts w:ascii="Arial" w:eastAsia="Times New Roman" w:hAnsi="Arial" w:cs="Arial"/>
        </w:rPr>
      </w:pPr>
    </w:p>
    <w:p w14:paraId="08F5B12E" w14:textId="77777777" w:rsidR="0015099D" w:rsidRDefault="0015099D" w:rsidP="0015099D">
      <w:pPr>
        <w:ind w:firstLine="567"/>
        <w:jc w:val="both"/>
        <w:rPr>
          <w:rFonts w:ascii="Arial" w:eastAsia="Times New Roman" w:hAnsi="Arial" w:cs="Arial"/>
        </w:rPr>
      </w:pPr>
      <w:r>
        <w:rPr>
          <w:rFonts w:ascii="Arial" w:eastAsia="Times New Roman" w:hAnsi="Arial" w:cs="Arial"/>
        </w:rPr>
        <w:t>29° D’admettre en non-valeur les titres de recettes, ou certaines catégories d’entre eux,</w:t>
      </w:r>
    </w:p>
    <w:p w14:paraId="549AF046"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présentés par le comptable public, chacun de ces titres correspondants à une </w:t>
      </w:r>
    </w:p>
    <w:p w14:paraId="5700A0F8"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créance irrécouvrable d’un montant inférieur à un seuil de 100 euros, mais pour un </w:t>
      </w:r>
    </w:p>
    <w:p w14:paraId="4E2C2761"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montant total annuel qui ne peut être supérieur à un seuil de 3 000 euros. </w:t>
      </w:r>
    </w:p>
    <w:p w14:paraId="0EEF938D" w14:textId="77777777" w:rsidR="0015099D" w:rsidRDefault="0015099D" w:rsidP="0015099D">
      <w:pPr>
        <w:ind w:firstLine="567"/>
        <w:jc w:val="both"/>
        <w:rPr>
          <w:rFonts w:ascii="Arial" w:eastAsia="Times New Roman" w:hAnsi="Arial" w:cs="Arial"/>
        </w:rPr>
      </w:pPr>
      <w:r>
        <w:rPr>
          <w:rFonts w:ascii="Arial" w:eastAsia="Times New Roman" w:hAnsi="Arial" w:cs="Arial"/>
        </w:rPr>
        <w:t>30° D’autoriser les mandats spéciaux que les membres du conseil municipal peuvent</w:t>
      </w:r>
    </w:p>
    <w:p w14:paraId="17FC3D80"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être amenés à exercer dans le cadre de leurs fonctions, ainsi que le remboursement </w:t>
      </w:r>
    </w:p>
    <w:p w14:paraId="42D01098" w14:textId="77777777" w:rsidR="0015099D" w:rsidRDefault="0015099D" w:rsidP="0015099D">
      <w:pPr>
        <w:ind w:firstLine="567"/>
        <w:jc w:val="both"/>
        <w:rPr>
          <w:rFonts w:ascii="Arial" w:eastAsia="Times New Roman" w:hAnsi="Arial" w:cs="Arial"/>
        </w:rPr>
      </w:pPr>
      <w:r>
        <w:rPr>
          <w:rFonts w:ascii="Arial" w:eastAsia="Times New Roman" w:hAnsi="Arial" w:cs="Arial"/>
        </w:rPr>
        <w:t xml:space="preserve">      des frais afférents prévus à l’article L.2123-18 du présent code. </w:t>
      </w:r>
    </w:p>
    <w:p w14:paraId="431980CB" w14:textId="77777777" w:rsidR="0015099D" w:rsidRDefault="0015099D" w:rsidP="0015099D">
      <w:pPr>
        <w:jc w:val="both"/>
        <w:rPr>
          <w:rFonts w:ascii="Arial" w:eastAsia="Times New Roman" w:hAnsi="Arial" w:cs="Arial"/>
        </w:rPr>
      </w:pPr>
    </w:p>
    <w:p w14:paraId="446EC2F6" w14:textId="77777777" w:rsidR="0015099D" w:rsidRDefault="0015099D" w:rsidP="0015099D">
      <w:pPr>
        <w:jc w:val="both"/>
        <w:rPr>
          <w:rFonts w:ascii="Arial" w:eastAsia="Times New Roman" w:hAnsi="Arial" w:cs="Arial"/>
          <w:b/>
          <w:bCs/>
          <w:sz w:val="24"/>
          <w:szCs w:val="24"/>
          <w:u w:val="single"/>
        </w:rPr>
      </w:pPr>
      <w:r>
        <w:rPr>
          <w:rFonts w:ascii="Arial" w:eastAsia="Times New Roman" w:hAnsi="Arial" w:cs="Arial"/>
          <w:b/>
          <w:bCs/>
          <w:sz w:val="24"/>
          <w:szCs w:val="24"/>
          <w:u w:val="single"/>
        </w:rPr>
        <w:t>010 – QUESTIONS DIVERSES</w:t>
      </w:r>
    </w:p>
    <w:p w14:paraId="683A41B0" w14:textId="77777777" w:rsidR="0015099D" w:rsidRDefault="0015099D" w:rsidP="0015099D">
      <w:pPr>
        <w:jc w:val="both"/>
        <w:rPr>
          <w:rFonts w:ascii="Arial" w:eastAsia="Times New Roman" w:hAnsi="Arial" w:cs="Arial"/>
        </w:rPr>
      </w:pPr>
      <w:r>
        <w:rPr>
          <w:rFonts w:ascii="Arial" w:eastAsia="Times New Roman" w:hAnsi="Arial" w:cs="Arial"/>
          <w:b/>
          <w:bCs/>
          <w:sz w:val="24"/>
          <w:szCs w:val="24"/>
          <w:u w:val="single"/>
        </w:rPr>
        <w:t>PLU</w:t>
      </w:r>
      <w:r>
        <w:rPr>
          <w:rFonts w:ascii="Arial" w:eastAsia="Times New Roman" w:hAnsi="Arial" w:cs="Arial"/>
          <w:b/>
          <w:bCs/>
          <w:sz w:val="24"/>
          <w:szCs w:val="24"/>
        </w:rPr>
        <w:t xml:space="preserve"> : </w:t>
      </w:r>
      <w:r>
        <w:rPr>
          <w:rFonts w:ascii="Arial" w:eastAsia="Times New Roman" w:hAnsi="Arial" w:cs="Arial"/>
        </w:rPr>
        <w:t>la caractérisation du zonage à l’intérieur des enveloppes urbaines a fait l’objet d’une discussion avec le bureau d’étude et les services de la DDTM</w:t>
      </w:r>
      <w:r>
        <w:rPr>
          <w:rFonts w:ascii="Arial" w:eastAsia="Times New Roman" w:hAnsi="Arial" w:cs="Arial"/>
          <w:sz w:val="24"/>
          <w:szCs w:val="24"/>
        </w:rPr>
        <w:t> </w:t>
      </w:r>
      <w:r>
        <w:rPr>
          <w:rFonts w:ascii="Arial" w:eastAsia="Times New Roman" w:hAnsi="Arial" w:cs="Arial"/>
        </w:rPr>
        <w:t xml:space="preserve">; la question étant de savoir s’il fallait classer ces zones en zones naturelles ou à urbaniser. De nouvelles réunions de travail seront organisées pour avancer sur le Plan Local d’Urbanisme où pourront être évoquée à nouveau cette question. </w:t>
      </w:r>
    </w:p>
    <w:p w14:paraId="1DF6F37A" w14:textId="77777777" w:rsidR="0015099D" w:rsidRDefault="0015099D" w:rsidP="0015099D">
      <w:pPr>
        <w:jc w:val="both"/>
        <w:rPr>
          <w:rFonts w:ascii="Arial" w:eastAsia="Times New Roman" w:hAnsi="Arial" w:cs="Arial"/>
        </w:rPr>
      </w:pPr>
      <w:r>
        <w:rPr>
          <w:rFonts w:ascii="Arial" w:eastAsia="Times New Roman" w:hAnsi="Arial" w:cs="Arial"/>
          <w:b/>
          <w:bCs/>
          <w:sz w:val="24"/>
          <w:szCs w:val="24"/>
          <w:u w:val="single"/>
        </w:rPr>
        <w:t>PANNEAUX PHOTOVOLTAÏQUES</w:t>
      </w:r>
      <w:r>
        <w:rPr>
          <w:rFonts w:ascii="Arial" w:eastAsia="Times New Roman" w:hAnsi="Arial" w:cs="Arial"/>
        </w:rPr>
        <w:t xml:space="preserve"> :  un projet d’installation de panneaux photovoltaïques est en cours sur les terrains de la commune au niveau des anciennes mines. La surface disponible étant limitée, il englobe également des parcelles boisées appartenant à des propriétaires privés. L’avis du parc national des Cévennes devait être sollicité ; Cependant les services d’urbanisme de la communauté de communes ont précisé que le règlement du SCOT du Piémont Cévenol interdit tout déboisement. Le projet limité aux seuls terrains communaux </w:t>
      </w:r>
    </w:p>
    <w:p w14:paraId="7D49479D" w14:textId="77777777" w:rsidR="009B4552" w:rsidRDefault="009B4552"/>
    <w:sectPr w:rsidR="009B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1029F"/>
    <w:multiLevelType w:val="hybridMultilevel"/>
    <w:tmpl w:val="9424B830"/>
    <w:lvl w:ilvl="0" w:tplc="DC30D11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6A11AB3"/>
    <w:multiLevelType w:val="hybridMultilevel"/>
    <w:tmpl w:val="0F243386"/>
    <w:lvl w:ilvl="0" w:tplc="BAFE4DFA">
      <w:start w:val="1"/>
      <w:numFmt w:val="bullet"/>
      <w:lvlText w:val=""/>
      <w:lvlJc w:val="left"/>
      <w:pPr>
        <w:ind w:left="1440" w:hanging="360"/>
      </w:pPr>
      <w:rPr>
        <w:rFonts w:ascii="Wingdings" w:hAnsi="Wingdings" w:hint="default"/>
        <w:sz w:val="24"/>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16cid:durableId="1847399405">
    <w:abstractNumId w:val="0"/>
    <w:lvlOverride w:ilvl="0"/>
    <w:lvlOverride w:ilvl="1"/>
    <w:lvlOverride w:ilvl="2"/>
    <w:lvlOverride w:ilvl="3"/>
    <w:lvlOverride w:ilvl="4"/>
    <w:lvlOverride w:ilvl="5"/>
    <w:lvlOverride w:ilvl="6"/>
    <w:lvlOverride w:ilvl="7"/>
    <w:lvlOverride w:ilvl="8"/>
  </w:num>
  <w:num w:numId="2" w16cid:durableId="199780405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9D"/>
    <w:rsid w:val="0015099D"/>
    <w:rsid w:val="003941EB"/>
    <w:rsid w:val="009B4552"/>
    <w:rsid w:val="00D62283"/>
    <w:rsid w:val="00DF0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C828"/>
  <w15:chartTrackingRefBased/>
  <w15:docId w15:val="{631E64F8-481C-44D5-B20B-76C9A43B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9D"/>
    <w:pPr>
      <w:spacing w:after="0" w:line="240" w:lineRule="auto"/>
    </w:pPr>
    <w:rPr>
      <w:rFonts w:ascii="Calibri" w:eastAsia="Calibri" w:hAnsi="Calibri" w:cs="Calibri"/>
      <w:kern w:val="0"/>
      <w:lang w:eastAsia="fr-FR"/>
      <w14:ligatures w14:val="none"/>
    </w:rPr>
  </w:style>
  <w:style w:type="paragraph" w:styleId="Titre1">
    <w:name w:val="heading 1"/>
    <w:basedOn w:val="Normal"/>
    <w:next w:val="Normal"/>
    <w:link w:val="Titre1Car"/>
    <w:uiPriority w:val="9"/>
    <w:qFormat/>
    <w:rsid w:val="001509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509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5099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5099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5099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5099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099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099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099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099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5099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5099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5099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5099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509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09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09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099D"/>
    <w:rPr>
      <w:rFonts w:eastAsiaTheme="majorEastAsia" w:cstheme="majorBidi"/>
      <w:color w:val="272727" w:themeColor="text1" w:themeTint="D8"/>
    </w:rPr>
  </w:style>
  <w:style w:type="paragraph" w:styleId="Titre">
    <w:name w:val="Title"/>
    <w:basedOn w:val="Normal"/>
    <w:next w:val="Normal"/>
    <w:link w:val="TitreCar"/>
    <w:uiPriority w:val="10"/>
    <w:qFormat/>
    <w:rsid w:val="0015099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09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099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09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099D"/>
    <w:pPr>
      <w:spacing w:before="160"/>
      <w:jc w:val="center"/>
    </w:pPr>
    <w:rPr>
      <w:i/>
      <w:iCs/>
      <w:color w:val="404040" w:themeColor="text1" w:themeTint="BF"/>
    </w:rPr>
  </w:style>
  <w:style w:type="character" w:customStyle="1" w:styleId="CitationCar">
    <w:name w:val="Citation Car"/>
    <w:basedOn w:val="Policepardfaut"/>
    <w:link w:val="Citation"/>
    <w:uiPriority w:val="29"/>
    <w:rsid w:val="0015099D"/>
    <w:rPr>
      <w:i/>
      <w:iCs/>
      <w:color w:val="404040" w:themeColor="text1" w:themeTint="BF"/>
    </w:rPr>
  </w:style>
  <w:style w:type="paragraph" w:styleId="Paragraphedeliste">
    <w:name w:val="List Paragraph"/>
    <w:basedOn w:val="Normal"/>
    <w:uiPriority w:val="34"/>
    <w:qFormat/>
    <w:rsid w:val="0015099D"/>
    <w:pPr>
      <w:ind w:left="720"/>
      <w:contextualSpacing/>
    </w:pPr>
  </w:style>
  <w:style w:type="character" w:styleId="Accentuationintense">
    <w:name w:val="Intense Emphasis"/>
    <w:basedOn w:val="Policepardfaut"/>
    <w:uiPriority w:val="21"/>
    <w:qFormat/>
    <w:rsid w:val="0015099D"/>
    <w:rPr>
      <w:i/>
      <w:iCs/>
      <w:color w:val="2F5496" w:themeColor="accent1" w:themeShade="BF"/>
    </w:rPr>
  </w:style>
  <w:style w:type="paragraph" w:styleId="Citationintense">
    <w:name w:val="Intense Quote"/>
    <w:basedOn w:val="Normal"/>
    <w:next w:val="Normal"/>
    <w:link w:val="CitationintenseCar"/>
    <w:uiPriority w:val="30"/>
    <w:qFormat/>
    <w:rsid w:val="00150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5099D"/>
    <w:rPr>
      <w:i/>
      <w:iCs/>
      <w:color w:val="2F5496" w:themeColor="accent1" w:themeShade="BF"/>
    </w:rPr>
  </w:style>
  <w:style w:type="character" w:styleId="Rfrenceintense">
    <w:name w:val="Intense Reference"/>
    <w:basedOn w:val="Policepardfaut"/>
    <w:uiPriority w:val="32"/>
    <w:qFormat/>
    <w:rsid w:val="0015099D"/>
    <w:rPr>
      <w:b/>
      <w:bCs/>
      <w:smallCaps/>
      <w:color w:val="2F5496" w:themeColor="accent1" w:themeShade="BF"/>
      <w:spacing w:val="5"/>
    </w:rPr>
  </w:style>
  <w:style w:type="character" w:styleId="Lienhypertexte">
    <w:name w:val="Hyperlink"/>
    <w:basedOn w:val="Policepardfaut"/>
    <w:uiPriority w:val="99"/>
    <w:semiHidden/>
    <w:unhideWhenUsed/>
    <w:rsid w:val="0015099D"/>
    <w:rPr>
      <w:color w:val="0000FF"/>
      <w:u w:val="single"/>
    </w:rPr>
  </w:style>
  <w:style w:type="paragraph" w:customStyle="1" w:styleId="Default">
    <w:name w:val="Default"/>
    <w:rsid w:val="0015099D"/>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normaltextrun">
    <w:name w:val="normaltextrun"/>
    <w:basedOn w:val="Policepardfaut"/>
    <w:rsid w:val="0015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france.gouv.fr/affichTexteArticle.do?cidTexte=JORFTEXT000000889243&amp;idArticle=LEGIARTI000006465237&amp;dateTexte=&amp;categorieLien=ci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3729</Words>
  <Characters>20511</Characters>
  <Application>Microsoft Office Word</Application>
  <DocSecurity>0</DocSecurity>
  <Lines>170</Lines>
  <Paragraphs>48</Paragraphs>
  <ScaleCrop>false</ScaleCrop>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2025-02-17T16:39:00Z</dcterms:created>
  <dcterms:modified xsi:type="dcterms:W3CDTF">2025-02-17T16:41:00Z</dcterms:modified>
</cp:coreProperties>
</file>