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6C0F" w14:textId="23DCCB74" w:rsidR="00DC3E3F" w:rsidRPr="00DC3E3F" w:rsidRDefault="00DC3E3F" w:rsidP="00DC3E3F">
      <w:pPr>
        <w:spacing w:after="160" w:line="259" w:lineRule="auto"/>
        <w:rPr>
          <w:rFonts w:ascii="Arial" w:eastAsiaTheme="minorHAnsi" w:hAnsi="Arial" w:cs="Arial"/>
          <w:b/>
          <w:bCs/>
          <w:i/>
          <w:iCs/>
          <w:kern w:val="2"/>
          <w:lang w:eastAsia="en-US"/>
          <w14:ligatures w14:val="standardContextual"/>
        </w:rPr>
      </w:pPr>
      <w:r w:rsidRPr="00DC3E3F">
        <w:rPr>
          <w:rFonts w:ascii="Arial" w:eastAsiaTheme="minorHAnsi" w:hAnsi="Arial" w:cs="Arial"/>
          <w:b/>
          <w:bCs/>
          <w:i/>
          <w:iCs/>
          <w:kern w:val="2"/>
          <w:lang w:eastAsia="en-US"/>
          <w14:ligatures w14:val="standardContextual"/>
        </w:rPr>
        <w:t xml:space="preserve">Les </w:t>
      </w:r>
      <w:r w:rsidRPr="00DC3E3F">
        <w:rPr>
          <w:rFonts w:ascii="Arial" w:eastAsiaTheme="minorHAnsi" w:hAnsi="Arial" w:cs="Arial"/>
          <w:b/>
          <w:bCs/>
          <w:i/>
          <w:iCs/>
          <w:kern w:val="2"/>
          <w:lang w:eastAsia="en-US"/>
          <w14:ligatures w14:val="standardContextual"/>
        </w:rPr>
        <w:t>comptes-rendus</w:t>
      </w:r>
      <w:r w:rsidRPr="00DC3E3F">
        <w:rPr>
          <w:rFonts w:ascii="Arial" w:eastAsiaTheme="minorHAnsi" w:hAnsi="Arial" w:cs="Arial"/>
          <w:b/>
          <w:bCs/>
          <w:i/>
          <w:iCs/>
          <w:kern w:val="2"/>
          <w:lang w:eastAsia="en-US"/>
          <w14:ligatures w14:val="standardContextual"/>
        </w:rPr>
        <w:t xml:space="preserve"> sont mis en ligne en application de l’art. L2121-25 du CGCT et sous réserve d’approbation du prochain </w:t>
      </w:r>
      <w:r w:rsidRPr="00DC3E3F">
        <w:rPr>
          <w:rFonts w:ascii="Arial" w:eastAsiaTheme="minorHAnsi" w:hAnsi="Arial" w:cs="Arial"/>
          <w:b/>
          <w:bCs/>
          <w:i/>
          <w:iCs/>
          <w:kern w:val="2"/>
          <w:lang w:eastAsia="en-US"/>
          <w14:ligatures w14:val="standardContextual"/>
        </w:rPr>
        <w:t xml:space="preserve">Conseil Municipal. </w:t>
      </w:r>
    </w:p>
    <w:p w14:paraId="108150D5" w14:textId="1AF4483F" w:rsidR="00DC3E3F" w:rsidRDefault="00DC3E3F" w:rsidP="00DC3E3F">
      <w:pPr>
        <w:jc w:val="center"/>
        <w:rPr>
          <w:rFonts w:ascii="Arial" w:hAnsi="Arial" w:cs="Arial"/>
          <w:b/>
          <w:u w:val="single"/>
        </w:rPr>
      </w:pPr>
      <w:r>
        <w:rPr>
          <w:rFonts w:ascii="Arial" w:hAnsi="Arial" w:cs="Arial"/>
          <w:b/>
          <w:u w:val="single"/>
        </w:rPr>
        <w:t>DELIBERATION DU CONSEIL MUNICIPAL</w:t>
      </w:r>
    </w:p>
    <w:p w14:paraId="4C06A32A" w14:textId="77777777" w:rsidR="00DC3E3F" w:rsidRDefault="00DC3E3F" w:rsidP="00DC3E3F">
      <w:pPr>
        <w:jc w:val="center"/>
        <w:rPr>
          <w:rFonts w:ascii="Arial" w:hAnsi="Arial" w:cs="Arial"/>
          <w:b/>
        </w:rPr>
      </w:pPr>
      <w:r>
        <w:rPr>
          <w:rFonts w:ascii="Arial" w:hAnsi="Arial" w:cs="Arial"/>
          <w:b/>
          <w:u w:val="single"/>
        </w:rPr>
        <w:t>SEANCE DU 19 OCTOBRE 2023</w:t>
      </w:r>
    </w:p>
    <w:p w14:paraId="35AE6D68" w14:textId="77777777" w:rsidR="00DC3E3F" w:rsidRDefault="00DC3E3F" w:rsidP="00DC3E3F">
      <w:pPr>
        <w:jc w:val="center"/>
        <w:rPr>
          <w:rFonts w:ascii="Arial" w:hAnsi="Arial" w:cs="Arial"/>
          <w:b/>
        </w:rPr>
      </w:pPr>
    </w:p>
    <w:p w14:paraId="7FA7FEE0" w14:textId="77777777" w:rsidR="00DC3E3F" w:rsidRDefault="00DC3E3F" w:rsidP="00DC3E3F">
      <w:pPr>
        <w:jc w:val="both"/>
        <w:rPr>
          <w:rFonts w:ascii="Arial" w:hAnsi="Arial" w:cs="Arial"/>
          <w:b/>
        </w:rPr>
      </w:pPr>
      <w:r>
        <w:rPr>
          <w:rFonts w:ascii="Arial" w:hAnsi="Arial" w:cs="Arial"/>
          <w:b/>
        </w:rPr>
        <w:t>L’an deux mil vingt-trois et le</w:t>
      </w:r>
      <w:r>
        <w:rPr>
          <w:rFonts w:ascii="Arial" w:hAnsi="Arial" w:cs="Arial"/>
          <w:b/>
          <w:color w:val="FF0000"/>
        </w:rPr>
        <w:t xml:space="preserve"> </w:t>
      </w:r>
      <w:r>
        <w:rPr>
          <w:rFonts w:ascii="Arial" w:hAnsi="Arial" w:cs="Arial"/>
          <w:b/>
        </w:rPr>
        <w:t xml:space="preserve">dix-neuf octobre à dix-huit heures les membres du conseil municipal de la commune de Saint-Félix-de-Pallières régulièrement convoqués se sont réunis dans la salle polyvalente sous la présidence de </w:t>
      </w:r>
      <w:r>
        <w:rPr>
          <w:rFonts w:ascii="Arial" w:hAnsi="Arial" w:cs="Arial"/>
          <w:bCs/>
        </w:rPr>
        <w:t xml:space="preserve">M. Bruno WEITZ, </w:t>
      </w:r>
      <w:r>
        <w:rPr>
          <w:rFonts w:ascii="Arial" w:hAnsi="Arial" w:cs="Arial"/>
          <w:b/>
        </w:rPr>
        <w:t>Maire.</w:t>
      </w:r>
    </w:p>
    <w:p w14:paraId="6AE9DE3E" w14:textId="77777777" w:rsidR="00DC3E3F" w:rsidRDefault="00DC3E3F" w:rsidP="00DC3E3F">
      <w:pPr>
        <w:rPr>
          <w:rFonts w:ascii="Arial" w:hAnsi="Arial" w:cs="Arial"/>
          <w:b/>
        </w:rPr>
      </w:pPr>
    </w:p>
    <w:p w14:paraId="28FFEEEE" w14:textId="77777777" w:rsidR="00DC3E3F" w:rsidRDefault="00DC3E3F" w:rsidP="00DC3E3F">
      <w:pPr>
        <w:rPr>
          <w:rFonts w:ascii="Arial" w:hAnsi="Arial" w:cs="Arial"/>
          <w:b/>
        </w:rPr>
      </w:pPr>
      <w:r>
        <w:rPr>
          <w:rFonts w:ascii="Arial" w:hAnsi="Arial" w:cs="Arial"/>
          <w:b/>
        </w:rPr>
        <w:t>Convocation : 12 octobre 2023</w:t>
      </w:r>
    </w:p>
    <w:p w14:paraId="7D7DE46B" w14:textId="77777777" w:rsidR="00DC3E3F" w:rsidRDefault="00DC3E3F" w:rsidP="00DC3E3F">
      <w:pPr>
        <w:rPr>
          <w:rFonts w:ascii="Arial" w:hAnsi="Arial" w:cs="Arial"/>
          <w:b/>
        </w:rPr>
      </w:pPr>
    </w:p>
    <w:p w14:paraId="61B0D368" w14:textId="77777777" w:rsidR="00DC3E3F" w:rsidRDefault="00DC3E3F" w:rsidP="00DC3E3F">
      <w:pPr>
        <w:rPr>
          <w:rFonts w:ascii="Arial" w:hAnsi="Arial" w:cs="Arial"/>
          <w:b/>
        </w:rPr>
      </w:pPr>
      <w:r>
        <w:rPr>
          <w:rFonts w:ascii="Arial" w:hAnsi="Arial" w:cs="Arial"/>
          <w:b/>
        </w:rPr>
        <w:t xml:space="preserve">Présents : </w:t>
      </w:r>
      <w:r>
        <w:rPr>
          <w:rFonts w:ascii="Arial" w:hAnsi="Arial" w:cs="Arial"/>
          <w:bCs/>
        </w:rPr>
        <w:t>Mmes</w:t>
      </w:r>
      <w:r>
        <w:rPr>
          <w:rFonts w:ascii="Arial" w:hAnsi="Arial" w:cs="Arial"/>
          <w:b/>
        </w:rPr>
        <w:t xml:space="preserve"> FONTAINE</w:t>
      </w:r>
      <w:r>
        <w:rPr>
          <w:rFonts w:ascii="Arial" w:hAnsi="Arial" w:cs="Arial"/>
          <w:bCs/>
        </w:rPr>
        <w:t xml:space="preserve"> I.,</w:t>
      </w:r>
      <w:r>
        <w:rPr>
          <w:rFonts w:ascii="Arial" w:hAnsi="Arial" w:cs="Arial"/>
          <w:b/>
        </w:rPr>
        <w:t xml:space="preserve"> JEAN </w:t>
      </w:r>
      <w:r>
        <w:rPr>
          <w:rFonts w:ascii="Arial" w:hAnsi="Arial" w:cs="Arial"/>
          <w:bCs/>
        </w:rPr>
        <w:t>C.,</w:t>
      </w:r>
      <w:r>
        <w:rPr>
          <w:rFonts w:ascii="Arial" w:hAnsi="Arial" w:cs="Arial"/>
          <w:b/>
        </w:rPr>
        <w:t xml:space="preserve"> LECLERCQ </w:t>
      </w:r>
      <w:r>
        <w:rPr>
          <w:rFonts w:ascii="Arial" w:hAnsi="Arial" w:cs="Arial"/>
          <w:bCs/>
        </w:rPr>
        <w:t>K.,</w:t>
      </w:r>
      <w:r>
        <w:rPr>
          <w:rFonts w:ascii="Arial" w:hAnsi="Arial" w:cs="Arial"/>
          <w:b/>
        </w:rPr>
        <w:t xml:space="preserve"> LOUBIER </w:t>
      </w:r>
      <w:r>
        <w:rPr>
          <w:rFonts w:ascii="Arial" w:hAnsi="Arial" w:cs="Arial"/>
          <w:bCs/>
        </w:rPr>
        <w:t>M.,</w:t>
      </w:r>
      <w:r>
        <w:rPr>
          <w:rFonts w:ascii="Arial" w:hAnsi="Arial" w:cs="Arial"/>
          <w:b/>
        </w:rPr>
        <w:t xml:space="preserve"> RAYMOND </w:t>
      </w:r>
      <w:r>
        <w:rPr>
          <w:rFonts w:ascii="Arial" w:hAnsi="Arial" w:cs="Arial"/>
          <w:bCs/>
        </w:rPr>
        <w:t xml:space="preserve">S., </w:t>
      </w:r>
    </w:p>
    <w:p w14:paraId="57AB2468" w14:textId="77777777" w:rsidR="00DC3E3F" w:rsidRDefault="00DC3E3F" w:rsidP="00DC3E3F">
      <w:pPr>
        <w:rPr>
          <w:rFonts w:ascii="Arial" w:hAnsi="Arial" w:cs="Arial"/>
          <w:b/>
        </w:rPr>
      </w:pPr>
      <w:r>
        <w:rPr>
          <w:rFonts w:ascii="Arial" w:hAnsi="Arial" w:cs="Arial"/>
          <w:b/>
        </w:rPr>
        <w:t xml:space="preserve">                   ROCHER </w:t>
      </w:r>
      <w:r>
        <w:rPr>
          <w:rFonts w:ascii="Arial" w:hAnsi="Arial" w:cs="Arial"/>
          <w:bCs/>
        </w:rPr>
        <w:t>M.,</w:t>
      </w:r>
      <w:r>
        <w:rPr>
          <w:rFonts w:ascii="Arial" w:hAnsi="Arial" w:cs="Arial"/>
          <w:b/>
        </w:rPr>
        <w:t xml:space="preserve"> </w:t>
      </w:r>
      <w:r>
        <w:rPr>
          <w:rFonts w:ascii="Arial" w:hAnsi="Arial" w:cs="Arial"/>
          <w:bCs/>
        </w:rPr>
        <w:t>Mrs</w:t>
      </w:r>
      <w:r>
        <w:rPr>
          <w:rFonts w:ascii="Arial" w:hAnsi="Arial" w:cs="Arial"/>
          <w:b/>
        </w:rPr>
        <w:t xml:space="preserve"> SALA </w:t>
      </w:r>
      <w:r>
        <w:rPr>
          <w:rFonts w:ascii="Arial" w:hAnsi="Arial" w:cs="Arial"/>
          <w:bCs/>
        </w:rPr>
        <w:t>M.,</w:t>
      </w:r>
      <w:r>
        <w:rPr>
          <w:rFonts w:ascii="Arial" w:hAnsi="Arial" w:cs="Arial"/>
          <w:b/>
        </w:rPr>
        <w:t xml:space="preserve"> VAN HELMOND </w:t>
      </w:r>
      <w:r>
        <w:rPr>
          <w:rFonts w:ascii="Arial" w:hAnsi="Arial" w:cs="Arial"/>
          <w:bCs/>
        </w:rPr>
        <w:t>J.</w:t>
      </w:r>
    </w:p>
    <w:p w14:paraId="5BA08BA3" w14:textId="77777777" w:rsidR="00DC3E3F" w:rsidRDefault="00DC3E3F" w:rsidP="00DC3E3F">
      <w:pPr>
        <w:rPr>
          <w:rFonts w:ascii="Arial" w:hAnsi="Arial" w:cs="Arial"/>
          <w:b/>
        </w:rPr>
      </w:pPr>
      <w:r>
        <w:rPr>
          <w:rFonts w:ascii="Arial" w:hAnsi="Arial" w:cs="Arial"/>
          <w:b/>
        </w:rPr>
        <w:t>Absents excusés :</w:t>
      </w:r>
    </w:p>
    <w:p w14:paraId="3919CE99" w14:textId="77777777" w:rsidR="00DC3E3F" w:rsidRDefault="00DC3E3F" w:rsidP="00DC3E3F">
      <w:pPr>
        <w:rPr>
          <w:rFonts w:ascii="Arial" w:hAnsi="Arial" w:cs="Arial"/>
          <w:b/>
        </w:rPr>
      </w:pPr>
      <w:r>
        <w:rPr>
          <w:rFonts w:ascii="Arial" w:hAnsi="Arial" w:cs="Arial"/>
          <w:b/>
        </w:rPr>
        <w:t xml:space="preserve">Absents : </w:t>
      </w:r>
    </w:p>
    <w:p w14:paraId="2E178A04" w14:textId="77777777" w:rsidR="00DC3E3F" w:rsidRDefault="00DC3E3F" w:rsidP="00DC3E3F">
      <w:pPr>
        <w:rPr>
          <w:rFonts w:ascii="Arial" w:hAnsi="Arial" w:cs="Arial"/>
          <w:b/>
        </w:rPr>
      </w:pPr>
      <w:r>
        <w:rPr>
          <w:rFonts w:ascii="Arial" w:hAnsi="Arial" w:cs="Arial"/>
          <w:b/>
        </w:rPr>
        <w:t xml:space="preserve">Pouvoir : </w:t>
      </w:r>
      <w:r>
        <w:rPr>
          <w:rFonts w:ascii="Arial" w:hAnsi="Arial" w:cs="Arial"/>
          <w:bCs/>
        </w:rPr>
        <w:t>Mr</w:t>
      </w:r>
      <w:r>
        <w:rPr>
          <w:rFonts w:ascii="Arial" w:hAnsi="Arial" w:cs="Arial"/>
          <w:b/>
        </w:rPr>
        <w:t xml:space="preserve"> BOUCHI-LAMONTAGNE </w:t>
      </w:r>
      <w:r>
        <w:rPr>
          <w:rFonts w:ascii="Arial" w:hAnsi="Arial" w:cs="Arial"/>
          <w:bCs/>
        </w:rPr>
        <w:t>J.C.</w:t>
      </w:r>
      <w:r>
        <w:rPr>
          <w:rFonts w:ascii="Arial" w:hAnsi="Arial" w:cs="Arial"/>
          <w:b/>
        </w:rPr>
        <w:t xml:space="preserve"> </w:t>
      </w:r>
      <w:r>
        <w:rPr>
          <w:rFonts w:ascii="Arial" w:hAnsi="Arial" w:cs="Arial"/>
          <w:bCs/>
        </w:rPr>
        <w:t>a donné pouvoir à</w:t>
      </w:r>
      <w:r>
        <w:rPr>
          <w:rFonts w:ascii="Arial" w:hAnsi="Arial" w:cs="Arial"/>
          <w:b/>
        </w:rPr>
        <w:t xml:space="preserve"> </w:t>
      </w:r>
      <w:r>
        <w:rPr>
          <w:rFonts w:ascii="Arial" w:hAnsi="Arial" w:cs="Arial"/>
          <w:bCs/>
        </w:rPr>
        <w:t>Mme</w:t>
      </w:r>
      <w:r>
        <w:rPr>
          <w:rFonts w:ascii="Arial" w:hAnsi="Arial" w:cs="Arial"/>
          <w:b/>
        </w:rPr>
        <w:t xml:space="preserve"> LECLERCQ </w:t>
      </w:r>
      <w:r>
        <w:rPr>
          <w:rFonts w:ascii="Arial" w:hAnsi="Arial" w:cs="Arial"/>
          <w:bCs/>
        </w:rPr>
        <w:t>K.</w:t>
      </w:r>
    </w:p>
    <w:p w14:paraId="58168B67" w14:textId="77777777" w:rsidR="00DC3E3F" w:rsidRDefault="00DC3E3F" w:rsidP="00DC3E3F">
      <w:pPr>
        <w:rPr>
          <w:rFonts w:ascii="Arial" w:hAnsi="Arial" w:cs="Arial"/>
          <w:b/>
        </w:rPr>
      </w:pPr>
      <w:r>
        <w:rPr>
          <w:rFonts w:ascii="Arial" w:hAnsi="Arial" w:cs="Arial"/>
          <w:b/>
        </w:rPr>
        <w:t xml:space="preserve">                </w:t>
      </w:r>
      <w:r>
        <w:rPr>
          <w:rFonts w:ascii="Arial" w:hAnsi="Arial" w:cs="Arial"/>
          <w:bCs/>
        </w:rPr>
        <w:t>Mr</w:t>
      </w:r>
      <w:r>
        <w:rPr>
          <w:rFonts w:ascii="Arial" w:hAnsi="Arial" w:cs="Arial"/>
          <w:b/>
        </w:rPr>
        <w:t xml:space="preserve"> PILATTE </w:t>
      </w:r>
      <w:r>
        <w:rPr>
          <w:rFonts w:ascii="Arial" w:hAnsi="Arial" w:cs="Arial"/>
          <w:bCs/>
        </w:rPr>
        <w:t>P.</w:t>
      </w:r>
      <w:r>
        <w:rPr>
          <w:rFonts w:ascii="Arial" w:hAnsi="Arial" w:cs="Arial"/>
          <w:b/>
        </w:rPr>
        <w:t xml:space="preserve"> </w:t>
      </w:r>
      <w:r>
        <w:rPr>
          <w:rFonts w:ascii="Arial" w:hAnsi="Arial" w:cs="Arial"/>
          <w:bCs/>
        </w:rPr>
        <w:t>a donné pouvoir</w:t>
      </w:r>
      <w:r>
        <w:rPr>
          <w:rFonts w:ascii="Arial" w:hAnsi="Arial" w:cs="Arial"/>
          <w:b/>
        </w:rPr>
        <w:t xml:space="preserve"> </w:t>
      </w:r>
      <w:r>
        <w:rPr>
          <w:rFonts w:ascii="Arial" w:hAnsi="Arial" w:cs="Arial"/>
          <w:bCs/>
        </w:rPr>
        <w:t>à</w:t>
      </w:r>
      <w:r>
        <w:rPr>
          <w:rFonts w:ascii="Arial" w:hAnsi="Arial" w:cs="Arial"/>
          <w:b/>
        </w:rPr>
        <w:t xml:space="preserve"> </w:t>
      </w:r>
      <w:r>
        <w:rPr>
          <w:rFonts w:ascii="Arial" w:hAnsi="Arial" w:cs="Arial"/>
          <w:bCs/>
        </w:rPr>
        <w:t>Mr</w:t>
      </w:r>
      <w:r>
        <w:rPr>
          <w:rFonts w:ascii="Arial" w:hAnsi="Arial" w:cs="Arial"/>
          <w:b/>
        </w:rPr>
        <w:t xml:space="preserve"> VAN HELMOND </w:t>
      </w:r>
      <w:r>
        <w:rPr>
          <w:rFonts w:ascii="Arial" w:hAnsi="Arial" w:cs="Arial"/>
          <w:bCs/>
        </w:rPr>
        <w:t>J.</w:t>
      </w:r>
    </w:p>
    <w:p w14:paraId="73EEC0FC" w14:textId="77777777" w:rsidR="00DC3E3F" w:rsidRDefault="00DC3E3F" w:rsidP="00DC3E3F">
      <w:pPr>
        <w:rPr>
          <w:rFonts w:ascii="Arial" w:hAnsi="Arial" w:cs="Arial"/>
          <w:b/>
        </w:rPr>
      </w:pPr>
    </w:p>
    <w:p w14:paraId="296E8A32" w14:textId="77777777" w:rsidR="00DC3E3F" w:rsidRDefault="00DC3E3F" w:rsidP="00DC3E3F">
      <w:pPr>
        <w:rPr>
          <w:rFonts w:ascii="Arial" w:hAnsi="Arial" w:cs="Arial"/>
          <w:bCs/>
        </w:rPr>
      </w:pPr>
      <w:r>
        <w:rPr>
          <w:rFonts w:ascii="Arial" w:hAnsi="Arial" w:cs="Arial"/>
          <w:b/>
        </w:rPr>
        <w:t>Le conseil municipal a ensuite choisi pour secrétaire : </w:t>
      </w:r>
      <w:r>
        <w:rPr>
          <w:rFonts w:ascii="Arial" w:hAnsi="Arial" w:cs="Arial"/>
          <w:bCs/>
        </w:rPr>
        <w:t xml:space="preserve">Mr </w:t>
      </w:r>
      <w:r>
        <w:rPr>
          <w:rFonts w:ascii="Arial" w:hAnsi="Arial" w:cs="Arial"/>
          <w:b/>
        </w:rPr>
        <w:t xml:space="preserve">VAN HELMOND </w:t>
      </w:r>
      <w:r>
        <w:rPr>
          <w:rFonts w:ascii="Arial" w:hAnsi="Arial" w:cs="Arial"/>
          <w:bCs/>
        </w:rPr>
        <w:t>J.</w:t>
      </w:r>
    </w:p>
    <w:p w14:paraId="10B86361" w14:textId="77777777" w:rsidR="00DC3E3F" w:rsidRDefault="00DC3E3F" w:rsidP="00DC3E3F">
      <w:pPr>
        <w:rPr>
          <w:rFonts w:ascii="Arial" w:hAnsi="Arial" w:cs="Arial"/>
          <w:bCs/>
        </w:rPr>
      </w:pPr>
    </w:p>
    <w:p w14:paraId="0CC93118" w14:textId="77777777" w:rsidR="00DC3E3F" w:rsidRDefault="00DC3E3F" w:rsidP="00DC3E3F">
      <w:pPr>
        <w:jc w:val="both"/>
        <w:rPr>
          <w:rFonts w:ascii="Arial" w:hAnsi="Arial" w:cs="Arial"/>
          <w:b/>
          <w:bCs/>
          <w:u w:val="single"/>
          <w:lang w:eastAsia="en-US" w:bidi="en-US"/>
        </w:rPr>
      </w:pPr>
      <w:r>
        <w:rPr>
          <w:rFonts w:ascii="Arial" w:hAnsi="Arial" w:cs="Arial"/>
          <w:b/>
          <w:bCs/>
          <w:u w:val="single"/>
          <w:lang w:eastAsia="en-US" w:bidi="en-US"/>
        </w:rPr>
        <w:t xml:space="preserve">035 - APPROBATION DU COMPTE-RENDU DU 11 SEPTEMBRE 2023 </w:t>
      </w:r>
    </w:p>
    <w:p w14:paraId="1D6D29AE" w14:textId="77777777" w:rsidR="00DC3E3F" w:rsidRDefault="00DC3E3F" w:rsidP="00DC3E3F">
      <w:pPr>
        <w:jc w:val="both"/>
        <w:rPr>
          <w:rFonts w:ascii="Arial" w:hAnsi="Arial" w:cs="Arial"/>
        </w:rPr>
      </w:pPr>
      <w:r>
        <w:rPr>
          <w:rFonts w:ascii="Arial" w:hAnsi="Arial" w:cs="Arial"/>
        </w:rPr>
        <w:t>Le compte rendu du conseil municipal du 11 septembre 2023 n’ayant fait l’objet d’aucune observation est adopté à l’unanimité des membres présents.</w:t>
      </w:r>
    </w:p>
    <w:p w14:paraId="7FE4C861" w14:textId="77777777" w:rsidR="00DC3E3F" w:rsidRDefault="00DC3E3F" w:rsidP="00DC3E3F">
      <w:pPr>
        <w:jc w:val="both"/>
        <w:rPr>
          <w:rFonts w:ascii="Arial" w:hAnsi="Arial" w:cs="Arial"/>
          <w:b/>
          <w:bCs/>
          <w:u w:val="single"/>
          <w:lang w:eastAsia="en-US" w:bidi="en-US"/>
        </w:rPr>
      </w:pPr>
    </w:p>
    <w:p w14:paraId="06E83F15" w14:textId="77777777" w:rsidR="00DC3E3F" w:rsidRDefault="00DC3E3F" w:rsidP="00DC3E3F">
      <w:pPr>
        <w:jc w:val="both"/>
        <w:rPr>
          <w:rFonts w:ascii="Arial" w:hAnsi="Arial" w:cs="Arial"/>
          <w:b/>
          <w:bCs/>
          <w:u w:val="single"/>
          <w:lang w:eastAsia="en-US" w:bidi="en-US"/>
        </w:rPr>
      </w:pPr>
      <w:r>
        <w:rPr>
          <w:rFonts w:ascii="Arial" w:hAnsi="Arial" w:cs="Arial"/>
          <w:b/>
          <w:bCs/>
          <w:u w:val="single"/>
          <w:lang w:eastAsia="en-US" w:bidi="en-US"/>
        </w:rPr>
        <w:t>036 – APPROBATION DU RPQS 2022 SAEP</w:t>
      </w:r>
    </w:p>
    <w:p w14:paraId="16C8B643"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 xml:space="preserve">Aux termes de l’art L5211-39 du Code Général des Collectivités Territoriales, le président du Syndicat Intercommunal d’Adduction d’Eau Potable de Lasalle adresse chaque année au maire de chaque commune membre un rapport retraçant l’activité de l’établissement. Ce rapport fait l’objet d’une communication par le maire au conseil municipal en séance publique au cours de laquelle les délégués de la commune au SIAEP sont entendus. Le président du SIAEP peut être entendu à la demande par le conseil municipal de chaque commune membre ou à la demande de ce dernier. </w:t>
      </w:r>
    </w:p>
    <w:p w14:paraId="2D04F392"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 xml:space="preserve">Monsieur le Maire donne quelques chiffres clés du rapport d’activité sur la qualité et le prix de l’eau potable du SIAEP établi pour 2022 qui a été communiqué en pièce annexe avec la convocation à tous les élus. Il rappelle que le conseil syndical du SIAEP par délibération du 17 juillet 2023 a adopté le rapport 2022 sur le prix et la qualité du service public d’eau potable. </w:t>
      </w:r>
    </w:p>
    <w:p w14:paraId="3200E99A"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Ouï l’expose de Monsieur le Maire</w:t>
      </w:r>
    </w:p>
    <w:p w14:paraId="680E904F"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Vu le Code Général des Collectivités Territoriales</w:t>
      </w:r>
    </w:p>
    <w:p w14:paraId="11C31EF6"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Après en avoir délibéré, le Conseil municipal à l'unanimité des membres présents plus 2 pouvoirs :</w:t>
      </w:r>
    </w:p>
    <w:p w14:paraId="05878B4D" w14:textId="77777777" w:rsidR="00DC3E3F" w:rsidRDefault="00DC3E3F" w:rsidP="00DC3E3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Prend acte du rapport 2022 sur le prix et la qualité du service public d’eau potable du SIAEP.</w:t>
      </w:r>
    </w:p>
    <w:p w14:paraId="3BF7CAD6" w14:textId="77777777" w:rsidR="00DC3E3F" w:rsidRDefault="00DC3E3F" w:rsidP="00DC3E3F">
      <w:pPr>
        <w:rPr>
          <w:rFonts w:ascii="Arial" w:hAnsi="Arial" w:cs="Arial"/>
          <w:bCs/>
        </w:rPr>
      </w:pPr>
    </w:p>
    <w:p w14:paraId="2C2D409F" w14:textId="77777777" w:rsidR="00DC3E3F" w:rsidRDefault="00DC3E3F" w:rsidP="00DC3E3F">
      <w:pPr>
        <w:jc w:val="both"/>
        <w:rPr>
          <w:rFonts w:ascii="Arial" w:hAnsi="Arial" w:cs="Arial"/>
          <w:b/>
          <w:bCs/>
          <w:u w:val="single"/>
          <w:lang w:eastAsia="en-US" w:bidi="en-US"/>
        </w:rPr>
      </w:pPr>
      <w:bookmarkStart w:id="0" w:name="_Hlk145321527"/>
      <w:r>
        <w:rPr>
          <w:rFonts w:ascii="Arial" w:hAnsi="Arial" w:cs="Arial"/>
          <w:b/>
          <w:bCs/>
          <w:u w:val="single"/>
          <w:lang w:eastAsia="en-US" w:bidi="en-US"/>
        </w:rPr>
        <w:t>037 – DESIGNATION DU REFERENT DEONTOLOGUE</w:t>
      </w:r>
    </w:p>
    <w:p w14:paraId="5F14D52C" w14:textId="77777777" w:rsidR="00DC3E3F" w:rsidRDefault="00DC3E3F" w:rsidP="00DC3E3F">
      <w:pPr>
        <w:jc w:val="both"/>
        <w:outlineLvl w:val="2"/>
        <w:rPr>
          <w:rFonts w:ascii="Arial" w:hAnsi="Arial" w:cs="Arial"/>
        </w:rPr>
      </w:pPr>
      <w:r>
        <w:rPr>
          <w:rFonts w:ascii="Arial" w:hAnsi="Arial" w:cs="Arial"/>
          <w:b/>
        </w:rPr>
        <w:t>Vu</w:t>
      </w:r>
      <w:r>
        <w:rPr>
          <w:rFonts w:ascii="Arial" w:hAnsi="Arial" w:cs="Arial"/>
        </w:rPr>
        <w:t xml:space="preserve"> le Code Général des Collectivités Territoriales et notamment son article L. 1111-1-1, ainsi </w:t>
      </w:r>
      <w:proofErr w:type="gramStart"/>
      <w:r>
        <w:rPr>
          <w:rFonts w:ascii="Arial" w:hAnsi="Arial" w:cs="Arial"/>
        </w:rPr>
        <w:t>que</w:t>
      </w:r>
      <w:proofErr w:type="gramEnd"/>
      <w:r>
        <w:rPr>
          <w:rFonts w:ascii="Arial" w:hAnsi="Arial" w:cs="Arial"/>
        </w:rPr>
        <w:t xml:space="preserve"> les articles R. 1111-1- A et suivants,</w:t>
      </w:r>
    </w:p>
    <w:p w14:paraId="3D42E8C7" w14:textId="77777777" w:rsidR="00DC3E3F" w:rsidRDefault="00DC3E3F" w:rsidP="00DC3E3F">
      <w:pPr>
        <w:jc w:val="both"/>
        <w:outlineLvl w:val="2"/>
        <w:rPr>
          <w:rFonts w:ascii="Arial" w:hAnsi="Arial" w:cs="Arial"/>
          <w:bCs/>
        </w:rPr>
      </w:pPr>
      <w:r>
        <w:rPr>
          <w:rFonts w:ascii="Arial" w:hAnsi="Arial" w:cs="Arial"/>
          <w:b/>
        </w:rPr>
        <w:t>Vu</w:t>
      </w:r>
      <w:r>
        <w:rPr>
          <w:rFonts w:ascii="Arial" w:hAnsi="Arial" w:cs="Arial"/>
          <w:bCs/>
        </w:rPr>
        <w:t xml:space="preserve"> l’article 218 de la loi n° 2022-217 du 21 février 2022 relative à la différenciation, la décentralisation, la déconcentration et portant diverses mesures de simplification de l’action publique locale, </w:t>
      </w:r>
    </w:p>
    <w:p w14:paraId="4AE8F46E" w14:textId="77777777" w:rsidR="00DC3E3F" w:rsidRDefault="00DC3E3F" w:rsidP="00DC3E3F">
      <w:pPr>
        <w:jc w:val="both"/>
        <w:outlineLvl w:val="2"/>
        <w:rPr>
          <w:rFonts w:ascii="Arial" w:hAnsi="Arial" w:cs="Arial"/>
          <w:bCs/>
        </w:rPr>
      </w:pPr>
      <w:r>
        <w:rPr>
          <w:rFonts w:ascii="Arial" w:hAnsi="Arial" w:cs="Arial"/>
          <w:b/>
        </w:rPr>
        <w:t>Vu</w:t>
      </w:r>
      <w:r>
        <w:rPr>
          <w:rFonts w:ascii="Arial" w:hAnsi="Arial" w:cs="Arial"/>
          <w:bCs/>
        </w:rPr>
        <w:t xml:space="preserve"> le décret n° 2022-1520 du 6 décembre 2022 relatif au référent déontologue de l’élu local et notamment son article 1</w:t>
      </w:r>
      <w:r>
        <w:rPr>
          <w:rFonts w:ascii="Arial" w:hAnsi="Arial" w:cs="Arial"/>
          <w:bCs/>
          <w:vertAlign w:val="superscript"/>
        </w:rPr>
        <w:t>er</w:t>
      </w:r>
      <w:r>
        <w:rPr>
          <w:rFonts w:ascii="Arial" w:hAnsi="Arial" w:cs="Arial"/>
          <w:bCs/>
        </w:rPr>
        <w:t xml:space="preserve"> dont les dispositions entrent en vigueur le 1</w:t>
      </w:r>
      <w:r>
        <w:rPr>
          <w:rFonts w:ascii="Arial" w:hAnsi="Arial" w:cs="Arial"/>
          <w:bCs/>
          <w:vertAlign w:val="superscript"/>
        </w:rPr>
        <w:t>er</w:t>
      </w:r>
      <w:r>
        <w:rPr>
          <w:rFonts w:ascii="Arial" w:hAnsi="Arial" w:cs="Arial"/>
          <w:bCs/>
        </w:rPr>
        <w:t xml:space="preserve"> juin 2023, </w:t>
      </w:r>
    </w:p>
    <w:p w14:paraId="65F60D81" w14:textId="77777777" w:rsidR="00DC3E3F" w:rsidRDefault="00DC3E3F" w:rsidP="00DC3E3F">
      <w:pPr>
        <w:jc w:val="both"/>
        <w:outlineLvl w:val="2"/>
        <w:rPr>
          <w:rFonts w:ascii="Arial" w:hAnsi="Arial" w:cs="Arial"/>
          <w:bCs/>
        </w:rPr>
      </w:pPr>
      <w:r>
        <w:rPr>
          <w:rFonts w:ascii="Arial" w:hAnsi="Arial" w:cs="Arial"/>
          <w:b/>
        </w:rPr>
        <w:t>Vu</w:t>
      </w:r>
      <w:r>
        <w:rPr>
          <w:rFonts w:ascii="Arial" w:hAnsi="Arial" w:cs="Arial"/>
          <w:bCs/>
        </w:rPr>
        <w:t xml:space="preserve"> l’arrêté du 6 décembre 2022 pris en application du décret n° 2022-1520 du 06 décembre 2022 relatif au référent déontologue de l’élu local,</w:t>
      </w:r>
    </w:p>
    <w:p w14:paraId="2B70FD22" w14:textId="77777777" w:rsidR="00DC3E3F" w:rsidRDefault="00DC3E3F" w:rsidP="00DC3E3F">
      <w:pPr>
        <w:jc w:val="both"/>
        <w:outlineLvl w:val="2"/>
        <w:rPr>
          <w:rFonts w:ascii="Arial" w:hAnsi="Arial" w:cs="Arial"/>
          <w:bCs/>
        </w:rPr>
      </w:pPr>
    </w:p>
    <w:p w14:paraId="28ABD114" w14:textId="77777777" w:rsidR="00DC3E3F" w:rsidRDefault="00DC3E3F" w:rsidP="00DC3E3F">
      <w:pPr>
        <w:jc w:val="center"/>
        <w:rPr>
          <w:rFonts w:ascii="Arial" w:hAnsi="Arial" w:cs="Arial"/>
          <w:b/>
          <w:u w:val="single"/>
        </w:rPr>
      </w:pPr>
    </w:p>
    <w:p w14:paraId="6280A9EE" w14:textId="77777777" w:rsidR="00DC3E3F" w:rsidRDefault="00DC3E3F" w:rsidP="00DC3E3F">
      <w:pPr>
        <w:jc w:val="center"/>
        <w:rPr>
          <w:rFonts w:ascii="Arial" w:hAnsi="Arial" w:cs="Arial"/>
          <w:b/>
          <w:u w:val="single"/>
        </w:rPr>
      </w:pPr>
    </w:p>
    <w:p w14:paraId="11A165F7" w14:textId="77777777" w:rsidR="00DC3E3F" w:rsidRDefault="00DC3E3F" w:rsidP="00DC3E3F">
      <w:pPr>
        <w:jc w:val="both"/>
        <w:outlineLvl w:val="2"/>
        <w:rPr>
          <w:rFonts w:ascii="Arial" w:hAnsi="Arial" w:cs="Arial"/>
          <w:bCs/>
        </w:rPr>
      </w:pPr>
    </w:p>
    <w:p w14:paraId="77D174DE" w14:textId="77777777" w:rsidR="00DC3E3F" w:rsidRDefault="00DC3E3F" w:rsidP="00DC3E3F">
      <w:pPr>
        <w:jc w:val="both"/>
        <w:outlineLvl w:val="2"/>
        <w:rPr>
          <w:rFonts w:ascii="Arial" w:hAnsi="Arial" w:cs="Arial"/>
        </w:rPr>
      </w:pPr>
      <w:r>
        <w:rPr>
          <w:rFonts w:ascii="Arial" w:hAnsi="Arial" w:cs="Arial"/>
          <w:bCs/>
        </w:rPr>
        <w:t>Monsieur le Maire précise que t</w:t>
      </w:r>
      <w:r>
        <w:rPr>
          <w:rFonts w:ascii="Arial" w:hAnsi="Arial" w:cs="Arial"/>
        </w:rPr>
        <w:t xml:space="preserve">outes les collectivités doivent désigner un référent déontologue pour les élus locaux qui doivent pouvoir le consulter. </w:t>
      </w:r>
    </w:p>
    <w:p w14:paraId="397D5512" w14:textId="77777777" w:rsidR="00DC3E3F" w:rsidRDefault="00DC3E3F" w:rsidP="00DC3E3F">
      <w:pPr>
        <w:jc w:val="both"/>
        <w:rPr>
          <w:rFonts w:ascii="Arial" w:hAnsi="Arial" w:cs="Arial"/>
          <w:b/>
          <w:bCs/>
        </w:rPr>
      </w:pPr>
      <w:r>
        <w:rPr>
          <w:rFonts w:ascii="Arial" w:hAnsi="Arial" w:cs="Arial"/>
        </w:rPr>
        <w:t>Le référent déontologue a un rôle de prévention qui peut éviter bien des déboires judiciaires.</w:t>
      </w:r>
    </w:p>
    <w:p w14:paraId="18356716" w14:textId="77777777" w:rsidR="00DC3E3F" w:rsidRDefault="00DC3E3F" w:rsidP="00DC3E3F">
      <w:pPr>
        <w:jc w:val="both"/>
        <w:rPr>
          <w:rFonts w:ascii="Arial" w:hAnsi="Arial" w:cs="Arial"/>
        </w:rPr>
      </w:pPr>
      <w:r>
        <w:rPr>
          <w:rFonts w:ascii="Arial" w:hAnsi="Arial" w:cs="Arial"/>
        </w:rPr>
        <w:t xml:space="preserve">Plusieurs collectivités territoriales, groupements de collectivités territoriales ou syndicats mixtes peuvent désigner un même référent déontologue pour leurs élus par délibérations concordantes. </w:t>
      </w:r>
    </w:p>
    <w:p w14:paraId="53C07EC6" w14:textId="77777777" w:rsidR="00DC3E3F" w:rsidRDefault="00DC3E3F" w:rsidP="00DC3E3F">
      <w:pPr>
        <w:jc w:val="both"/>
        <w:rPr>
          <w:rFonts w:ascii="Arial" w:hAnsi="Arial" w:cs="Arial"/>
        </w:rPr>
      </w:pPr>
      <w:r>
        <w:rPr>
          <w:rFonts w:ascii="Arial" w:hAnsi="Arial" w:cs="Arial"/>
        </w:rPr>
        <w:t xml:space="preserve">Les missions de référent déontologue doivent être exercées en toute indépendance et impartialité par des personnes choisies en raison de leur expérience et de leurs compétences. </w:t>
      </w:r>
    </w:p>
    <w:p w14:paraId="1ACC4C39" w14:textId="77777777" w:rsidR="00DC3E3F" w:rsidRDefault="00DC3E3F" w:rsidP="00DC3E3F">
      <w:pPr>
        <w:jc w:val="both"/>
        <w:rPr>
          <w:rFonts w:ascii="Arial" w:hAnsi="Arial" w:cs="Arial"/>
        </w:rPr>
      </w:pPr>
      <w:r>
        <w:rPr>
          <w:rFonts w:ascii="Arial" w:hAnsi="Arial" w:cs="Arial"/>
        </w:rPr>
        <w:t xml:space="preserve">Le référent déontologue ne doit détenir aucun mandat d’élu local au sein de la collectivité (et même n’en exerçant plus depuis au moins trois ans), et ne pas être agent de ces collectivités. </w:t>
      </w:r>
    </w:p>
    <w:p w14:paraId="2A94D577" w14:textId="77777777" w:rsidR="00DC3E3F" w:rsidRDefault="00DC3E3F" w:rsidP="00DC3E3F">
      <w:pPr>
        <w:jc w:val="both"/>
        <w:rPr>
          <w:rFonts w:ascii="Arial" w:hAnsi="Arial" w:cs="Arial"/>
        </w:rPr>
      </w:pPr>
      <w:r>
        <w:rPr>
          <w:rFonts w:ascii="Arial" w:hAnsi="Arial" w:cs="Arial"/>
        </w:rPr>
        <w:t>Les référents déontologues ne doivent également pas se trouver pas en situation de conflit d’intérêt avec les collectivités pour lesquelles ils exercent cette mission (article R. 1111-1- A. du CGCT).</w:t>
      </w:r>
    </w:p>
    <w:p w14:paraId="2ACDF6E5" w14:textId="77777777" w:rsidR="00DC3E3F" w:rsidRDefault="00DC3E3F" w:rsidP="00DC3E3F">
      <w:pPr>
        <w:jc w:val="both"/>
        <w:rPr>
          <w:rFonts w:ascii="Arial" w:hAnsi="Arial" w:cs="Arial"/>
        </w:rPr>
      </w:pPr>
      <w:r>
        <w:rPr>
          <w:rFonts w:ascii="Arial" w:hAnsi="Arial" w:cs="Arial"/>
        </w:rPr>
        <w:t xml:space="preserve">En revanche le décret n’interdit pas expressément que le référent déontologue (ou le collège) compétent pour les agents soit aussi compétent pour les élus locaux. </w:t>
      </w:r>
    </w:p>
    <w:p w14:paraId="3A857FAA" w14:textId="77777777" w:rsidR="00DC3E3F" w:rsidRDefault="00DC3E3F" w:rsidP="00DC3E3F">
      <w:pPr>
        <w:jc w:val="both"/>
        <w:rPr>
          <w:rFonts w:ascii="Arial" w:hAnsi="Arial" w:cs="Arial"/>
        </w:rPr>
      </w:pPr>
      <w:r>
        <w:rPr>
          <w:rFonts w:ascii="Arial" w:hAnsi="Arial" w:cs="Arial"/>
        </w:rPr>
        <w:t>Cela suppose en revanche qu’il soit extérieur à la collectivité puisqu’un agent ne peut être référent déontologue pour les élus locaux, ce qui poserait effectivement un problème d’indépendance.</w:t>
      </w:r>
    </w:p>
    <w:p w14:paraId="2E7F79BF" w14:textId="77777777" w:rsidR="00DC3E3F" w:rsidRDefault="00DC3E3F" w:rsidP="00DC3E3F">
      <w:pPr>
        <w:jc w:val="both"/>
        <w:rPr>
          <w:rFonts w:ascii="Arial" w:hAnsi="Arial" w:cs="Arial"/>
        </w:rPr>
      </w:pPr>
    </w:p>
    <w:p w14:paraId="6B6E57D2" w14:textId="77777777" w:rsidR="00DC3E3F" w:rsidRDefault="00DC3E3F" w:rsidP="00DC3E3F">
      <w:pPr>
        <w:jc w:val="both"/>
        <w:rPr>
          <w:rFonts w:ascii="Arial" w:hAnsi="Arial" w:cs="Arial"/>
          <w:b/>
        </w:rPr>
      </w:pPr>
      <w:r>
        <w:rPr>
          <w:rFonts w:ascii="Arial" w:hAnsi="Arial" w:cs="Arial"/>
          <w:b/>
        </w:rPr>
        <w:t xml:space="preserve">Ouï cet exposé, après en avoir délibéré et </w:t>
      </w:r>
      <w:r>
        <w:rPr>
          <w:rFonts w:ascii="Arial" w:hAnsi="Arial" w:cs="Arial"/>
          <w:b/>
          <w:iCs/>
        </w:rPr>
        <w:t xml:space="preserve">à l’unanimité des membres présents plus 2 </w:t>
      </w:r>
      <w:proofErr w:type="spellStart"/>
      <w:r>
        <w:rPr>
          <w:rFonts w:ascii="Arial" w:hAnsi="Arial" w:cs="Arial"/>
          <w:b/>
          <w:iCs/>
        </w:rPr>
        <w:t>pouvois</w:t>
      </w:r>
      <w:proofErr w:type="spellEnd"/>
      <w:r>
        <w:rPr>
          <w:rFonts w:ascii="Arial" w:hAnsi="Arial" w:cs="Arial"/>
          <w:b/>
        </w:rPr>
        <w:t xml:space="preserve">, le Conseil Municipal décide </w:t>
      </w:r>
      <w:r>
        <w:rPr>
          <w:rFonts w:ascii="Arial" w:hAnsi="Arial" w:cs="Arial"/>
        </w:rPr>
        <w:t>:</w:t>
      </w:r>
      <w:r>
        <w:rPr>
          <w:rFonts w:ascii="Arial" w:hAnsi="Arial" w:cs="Arial"/>
          <w:b/>
        </w:rPr>
        <w:t xml:space="preserve"> </w:t>
      </w:r>
    </w:p>
    <w:p w14:paraId="032BFF6A" w14:textId="77777777" w:rsidR="00DC3E3F" w:rsidRDefault="00DC3E3F" w:rsidP="00DC3E3F">
      <w:pPr>
        <w:jc w:val="both"/>
        <w:rPr>
          <w:rFonts w:ascii="Arial" w:hAnsi="Arial" w:cs="Arial"/>
          <w:b/>
          <w:u w:val="single"/>
        </w:rPr>
      </w:pPr>
    </w:p>
    <w:p w14:paraId="49F23D2E" w14:textId="77777777" w:rsidR="00DC3E3F" w:rsidRDefault="00DC3E3F" w:rsidP="00DC3E3F">
      <w:pPr>
        <w:jc w:val="both"/>
        <w:rPr>
          <w:rFonts w:ascii="Arial" w:hAnsi="Arial" w:cs="Arial"/>
        </w:rPr>
      </w:pPr>
      <w:r>
        <w:rPr>
          <w:rFonts w:ascii="Arial" w:hAnsi="Arial" w:cs="Arial"/>
          <w:b/>
          <w:u w:val="single"/>
        </w:rPr>
        <w:t>Article 1</w:t>
      </w:r>
      <w:r>
        <w:rPr>
          <w:rFonts w:ascii="Arial" w:hAnsi="Arial" w:cs="Arial"/>
        </w:rPr>
        <w:t xml:space="preserve"> : </w:t>
      </w:r>
      <w:r>
        <w:rPr>
          <w:rFonts w:ascii="Arial" w:hAnsi="Arial" w:cs="Arial"/>
          <w:b/>
        </w:rPr>
        <w:t xml:space="preserve">Désignation du référent déontologue </w:t>
      </w:r>
    </w:p>
    <w:p w14:paraId="6D21E5FA" w14:textId="77777777" w:rsidR="00DC3E3F" w:rsidRDefault="00DC3E3F" w:rsidP="00DC3E3F">
      <w:pPr>
        <w:jc w:val="both"/>
        <w:rPr>
          <w:rFonts w:ascii="Arial" w:hAnsi="Arial" w:cs="Arial"/>
        </w:rPr>
      </w:pPr>
      <w:r>
        <w:rPr>
          <w:rFonts w:ascii="Arial" w:hAnsi="Arial" w:cs="Arial"/>
          <w:bCs/>
        </w:rPr>
        <w:t xml:space="preserve">Mme Marie SIMON-PEREZ (avocate honoraire et ancienne membre du Conseil de l’Ordre) </w:t>
      </w:r>
      <w:r>
        <w:rPr>
          <w:rFonts w:ascii="Arial" w:hAnsi="Arial" w:cs="Arial"/>
        </w:rPr>
        <w:t>est désignée référent déontologue pour les membres du Conseil Municipal pour la durée du présent mandat.</w:t>
      </w:r>
    </w:p>
    <w:p w14:paraId="4880979D" w14:textId="77777777" w:rsidR="00DC3E3F" w:rsidRDefault="00DC3E3F" w:rsidP="00DC3E3F">
      <w:pPr>
        <w:jc w:val="both"/>
        <w:rPr>
          <w:rFonts w:ascii="Arial" w:hAnsi="Arial" w:cs="Arial"/>
          <w:b/>
        </w:rPr>
      </w:pPr>
      <w:r>
        <w:rPr>
          <w:rFonts w:ascii="Arial" w:hAnsi="Arial" w:cs="Arial"/>
          <w:b/>
          <w:u w:val="single"/>
        </w:rPr>
        <w:t>Article 2</w:t>
      </w:r>
      <w:r>
        <w:rPr>
          <w:rFonts w:ascii="Arial" w:hAnsi="Arial" w:cs="Arial"/>
          <w:b/>
        </w:rPr>
        <w:t xml:space="preserve"> :  Modalités de saisine du référent déontologue </w:t>
      </w:r>
    </w:p>
    <w:p w14:paraId="08453C2D" w14:textId="77777777" w:rsidR="00DC3E3F" w:rsidRDefault="00DC3E3F" w:rsidP="00DC3E3F">
      <w:pPr>
        <w:jc w:val="both"/>
        <w:rPr>
          <w:rFonts w:ascii="Arial" w:hAnsi="Arial" w:cs="Arial"/>
          <w:color w:val="FF0000"/>
        </w:rPr>
      </w:pPr>
      <w:r>
        <w:rPr>
          <w:rFonts w:ascii="Arial" w:hAnsi="Arial" w:cs="Arial"/>
        </w:rPr>
        <w:t xml:space="preserve">Le référent déontologue pourra être saisi par voie écrite, par mail à </w:t>
      </w:r>
      <w:hyperlink r:id="rId5" w:history="1">
        <w:r>
          <w:rPr>
            <w:rStyle w:val="Lienhypertexte"/>
            <w:rFonts w:ascii="Arial" w:hAnsi="Arial" w:cs="Arial"/>
          </w:rPr>
          <w:t>mariesimonperez@orange.fr</w:t>
        </w:r>
      </w:hyperlink>
      <w:r>
        <w:rPr>
          <w:rFonts w:ascii="Arial" w:hAnsi="Arial" w:cs="Arial"/>
          <w:color w:val="FF0000"/>
        </w:rPr>
        <w:t xml:space="preserve">  </w:t>
      </w:r>
    </w:p>
    <w:p w14:paraId="63225187" w14:textId="77777777" w:rsidR="00DC3E3F" w:rsidRDefault="00DC3E3F" w:rsidP="00DC3E3F">
      <w:pPr>
        <w:jc w:val="both"/>
        <w:rPr>
          <w:rFonts w:ascii="Arial" w:hAnsi="Arial" w:cs="Arial"/>
        </w:rPr>
      </w:pPr>
      <w:r>
        <w:rPr>
          <w:rFonts w:ascii="Arial" w:hAnsi="Arial" w:cs="Arial"/>
        </w:rPr>
        <w:t>En cas de saisines par courrier, elles devront être cachetées et porter la mention « confidentiel ».</w:t>
      </w:r>
    </w:p>
    <w:p w14:paraId="369E9750" w14:textId="77777777" w:rsidR="00DC3E3F" w:rsidRDefault="00DC3E3F" w:rsidP="00DC3E3F">
      <w:pPr>
        <w:jc w:val="both"/>
        <w:rPr>
          <w:rFonts w:ascii="Arial" w:hAnsi="Arial" w:cs="Arial"/>
        </w:rPr>
      </w:pPr>
      <w:r>
        <w:rPr>
          <w:rFonts w:ascii="Arial" w:hAnsi="Arial" w:cs="Arial"/>
        </w:rPr>
        <w:t>Toute demande fera l’objet d’un accusé de réception par le référent déontologue qui mentionnera la date de réception et rappellera le cadre réglementaire de la réponse.</w:t>
      </w:r>
    </w:p>
    <w:p w14:paraId="7D1FA7C8" w14:textId="77777777" w:rsidR="00DC3E3F" w:rsidRDefault="00DC3E3F" w:rsidP="00DC3E3F">
      <w:pPr>
        <w:jc w:val="both"/>
        <w:rPr>
          <w:rFonts w:ascii="Arial" w:hAnsi="Arial" w:cs="Arial"/>
          <w:b/>
        </w:rPr>
      </w:pPr>
      <w:r>
        <w:rPr>
          <w:rFonts w:ascii="Arial" w:hAnsi="Arial" w:cs="Arial"/>
          <w:b/>
          <w:u w:val="single"/>
        </w:rPr>
        <w:t>Article 3</w:t>
      </w:r>
      <w:r>
        <w:rPr>
          <w:rFonts w:ascii="Arial" w:hAnsi="Arial" w:cs="Arial"/>
          <w:b/>
        </w:rPr>
        <w:t> : Rémunération </w:t>
      </w:r>
    </w:p>
    <w:p w14:paraId="4274AE0D" w14:textId="77777777" w:rsidR="00DC3E3F" w:rsidRDefault="00DC3E3F" w:rsidP="00DC3E3F">
      <w:pPr>
        <w:jc w:val="both"/>
        <w:rPr>
          <w:rFonts w:ascii="Arial" w:hAnsi="Arial" w:cs="Arial"/>
        </w:rPr>
      </w:pPr>
      <w:r>
        <w:rPr>
          <w:rFonts w:ascii="Arial" w:hAnsi="Arial" w:cs="Arial"/>
        </w:rPr>
        <w:t>Le référent</w:t>
      </w:r>
      <w:r>
        <w:rPr>
          <w:rFonts w:ascii="Arial" w:hAnsi="Arial" w:cs="Arial"/>
          <w:b/>
        </w:rPr>
        <w:t xml:space="preserve"> </w:t>
      </w:r>
      <w:r>
        <w:rPr>
          <w:rFonts w:ascii="Arial" w:hAnsi="Arial" w:cs="Arial"/>
        </w:rPr>
        <w:t>sera rémunéré par la commune conformément aux textes en vigueur.</w:t>
      </w:r>
      <w:bookmarkEnd w:id="0"/>
    </w:p>
    <w:p w14:paraId="1145EF15" w14:textId="77777777" w:rsidR="00DC3E3F" w:rsidRDefault="00DC3E3F" w:rsidP="00DC3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2F1C19C" w14:textId="77777777" w:rsidR="00DC3E3F" w:rsidRDefault="00DC3E3F" w:rsidP="00DC3E3F">
      <w:pPr>
        <w:jc w:val="both"/>
        <w:rPr>
          <w:rFonts w:ascii="Arial" w:hAnsi="Arial" w:cs="Arial"/>
          <w:b/>
          <w:bCs/>
          <w:u w:val="single"/>
          <w:lang w:eastAsia="en-US" w:bidi="en-US"/>
        </w:rPr>
      </w:pPr>
      <w:r>
        <w:rPr>
          <w:rFonts w:ascii="Arial" w:hAnsi="Arial" w:cs="Arial"/>
          <w:b/>
          <w:bCs/>
          <w:u w:val="single"/>
          <w:lang w:eastAsia="en-US" w:bidi="en-US"/>
        </w:rPr>
        <w:t>038 – LIGNE DE TRESORERIE </w:t>
      </w:r>
    </w:p>
    <w:p w14:paraId="4F9D545D" w14:textId="77777777" w:rsidR="00DC3E3F" w:rsidRDefault="00DC3E3F" w:rsidP="00DC3E3F">
      <w:pPr>
        <w:jc w:val="both"/>
        <w:rPr>
          <w:rFonts w:ascii="Arial" w:hAnsi="Arial" w:cs="Arial"/>
        </w:rPr>
      </w:pPr>
      <w:r>
        <w:rPr>
          <w:rFonts w:ascii="Arial" w:hAnsi="Arial" w:cs="Arial"/>
          <w:b/>
          <w:bCs/>
        </w:rPr>
        <w:t>VU</w:t>
      </w:r>
      <w:r>
        <w:rPr>
          <w:rFonts w:ascii="Arial" w:hAnsi="Arial" w:cs="Arial"/>
        </w:rPr>
        <w:t xml:space="preserve"> les articles L 2122-22 et L 2122-23 du Code Général des Collectivités Territoriales,</w:t>
      </w:r>
    </w:p>
    <w:p w14:paraId="61BA53B1" w14:textId="77777777" w:rsidR="00DC3E3F" w:rsidRDefault="00DC3E3F" w:rsidP="00DC3E3F">
      <w:pPr>
        <w:jc w:val="both"/>
        <w:rPr>
          <w:rFonts w:ascii="Arial" w:hAnsi="Arial" w:cs="Arial"/>
        </w:rPr>
      </w:pPr>
      <w:r>
        <w:rPr>
          <w:rFonts w:ascii="Arial" w:hAnsi="Arial" w:cs="Arial"/>
          <w:b/>
          <w:bCs/>
        </w:rPr>
        <w:t>CONSIDERANT</w:t>
      </w:r>
      <w:r>
        <w:rPr>
          <w:rFonts w:ascii="Arial" w:hAnsi="Arial" w:cs="Arial"/>
        </w:rPr>
        <w:t xml:space="preserve"> la consultation faite auprès des établissements bancaires et après analyse des offres reçues,</w:t>
      </w:r>
    </w:p>
    <w:p w14:paraId="44299A52" w14:textId="77777777" w:rsidR="00DC3E3F" w:rsidRDefault="00DC3E3F" w:rsidP="00DC3E3F">
      <w:pPr>
        <w:jc w:val="both"/>
        <w:rPr>
          <w:rFonts w:ascii="Arial" w:hAnsi="Arial" w:cs="Arial"/>
        </w:rPr>
      </w:pPr>
      <w:r>
        <w:rPr>
          <w:rFonts w:ascii="Arial" w:hAnsi="Arial" w:cs="Arial"/>
          <w:b/>
          <w:bCs/>
        </w:rPr>
        <w:t xml:space="preserve">CONSIDERANT </w:t>
      </w:r>
      <w:r>
        <w:rPr>
          <w:rFonts w:ascii="Arial" w:hAnsi="Arial" w:cs="Arial"/>
        </w:rPr>
        <w:t>la proposition faite par la Caisse d'Epargne,</w:t>
      </w:r>
    </w:p>
    <w:p w14:paraId="0B1220A5" w14:textId="77777777" w:rsidR="00DC3E3F" w:rsidRDefault="00DC3E3F" w:rsidP="00DC3E3F">
      <w:pPr>
        <w:jc w:val="both"/>
        <w:rPr>
          <w:rFonts w:ascii="Arial" w:hAnsi="Arial" w:cs="Arial"/>
          <w:b/>
          <w:bCs/>
        </w:rPr>
      </w:pPr>
      <w:r>
        <w:rPr>
          <w:rFonts w:ascii="Arial" w:hAnsi="Arial" w:cs="Arial"/>
          <w:b/>
          <w:bCs/>
        </w:rPr>
        <w:t xml:space="preserve">DÉCIDE </w:t>
      </w:r>
      <w:r>
        <w:rPr>
          <w:rFonts w:ascii="Arial" w:hAnsi="Arial" w:cs="Arial"/>
        </w:rPr>
        <w:t>à l’unanimité des membres présents</w:t>
      </w:r>
    </w:p>
    <w:p w14:paraId="517B2026" w14:textId="77777777" w:rsidR="00DC3E3F" w:rsidRDefault="00DC3E3F" w:rsidP="00DC3E3F">
      <w:pPr>
        <w:jc w:val="both"/>
        <w:rPr>
          <w:rFonts w:ascii="Arial" w:hAnsi="Arial" w:cs="Arial"/>
        </w:rPr>
      </w:pPr>
    </w:p>
    <w:p w14:paraId="7B8D3335" w14:textId="77777777" w:rsidR="00DC3E3F" w:rsidRDefault="00DC3E3F" w:rsidP="00DC3E3F">
      <w:pPr>
        <w:jc w:val="both"/>
        <w:rPr>
          <w:rFonts w:ascii="Arial" w:hAnsi="Arial" w:cs="Arial"/>
        </w:rPr>
      </w:pPr>
      <w:r>
        <w:rPr>
          <w:rFonts w:ascii="Arial" w:hAnsi="Arial" w:cs="Arial"/>
        </w:rPr>
        <w:t>1 - Pour financer des besoins ponctuels de trésorerie du budget principal de la commune de Saint-Félix-de-Pallières de contracter auprès de la Caisse d'Epargne une ligne de trésorerie d’un montant de 100 000,00 € (cent mille euros).</w:t>
      </w:r>
    </w:p>
    <w:p w14:paraId="72F27D8C" w14:textId="77777777" w:rsidR="00DC3E3F" w:rsidRDefault="00DC3E3F" w:rsidP="00DC3E3F">
      <w:pPr>
        <w:jc w:val="both"/>
        <w:rPr>
          <w:rFonts w:ascii="ArialMT" w:hAnsi="ArialMT" w:cs="ArialMT"/>
          <w:sz w:val="20"/>
          <w:szCs w:val="20"/>
        </w:rPr>
      </w:pPr>
    </w:p>
    <w:p w14:paraId="5BC76975" w14:textId="77777777" w:rsidR="00DC3E3F" w:rsidRDefault="00DC3E3F" w:rsidP="00DC3E3F">
      <w:pPr>
        <w:rPr>
          <w:rFonts w:ascii="Arial" w:hAnsi="Arial" w:cs="Arial"/>
          <w:b/>
          <w:bCs/>
        </w:rPr>
      </w:pPr>
      <w:r>
        <w:rPr>
          <w:rFonts w:ascii="Arial" w:hAnsi="Arial" w:cs="Arial"/>
          <w:b/>
          <w:bCs/>
        </w:rPr>
        <w:t>Principales caractéristiques de la ligne de trésorerie</w:t>
      </w:r>
    </w:p>
    <w:p w14:paraId="0C258240" w14:textId="77777777" w:rsidR="00DC3E3F" w:rsidRDefault="00DC3E3F" w:rsidP="00DC3E3F">
      <w:pPr>
        <w:rPr>
          <w:rFonts w:ascii="Arial" w:hAnsi="Arial" w:cs="Arial"/>
        </w:rPr>
      </w:pPr>
      <w:r>
        <w:rPr>
          <w:rFonts w:ascii="Arial" w:hAnsi="Arial" w:cs="Arial"/>
          <w:b/>
          <w:bCs/>
        </w:rPr>
        <w:t>Prêteur :</w:t>
      </w:r>
      <w:r>
        <w:rPr>
          <w:rFonts w:ascii="Arial" w:hAnsi="Arial" w:cs="Arial"/>
        </w:rPr>
        <w:t xml:space="preserve"> La Caisse d'Epargne</w:t>
      </w:r>
    </w:p>
    <w:p w14:paraId="16029570" w14:textId="77777777" w:rsidR="00DC3E3F" w:rsidRDefault="00DC3E3F" w:rsidP="00DC3E3F">
      <w:pPr>
        <w:rPr>
          <w:rFonts w:ascii="Arial" w:hAnsi="Arial" w:cs="Arial"/>
        </w:rPr>
      </w:pPr>
      <w:r>
        <w:rPr>
          <w:rFonts w:ascii="Arial" w:hAnsi="Arial" w:cs="Arial"/>
          <w:b/>
          <w:bCs/>
        </w:rPr>
        <w:t>Emprunteur :</w:t>
      </w:r>
      <w:r>
        <w:rPr>
          <w:rFonts w:ascii="Arial" w:hAnsi="Arial" w:cs="Arial"/>
        </w:rPr>
        <w:t xml:space="preserve"> Commune de Saint-Félix-de-Pallières</w:t>
      </w:r>
    </w:p>
    <w:p w14:paraId="7C2BA866" w14:textId="77777777" w:rsidR="00DC3E3F" w:rsidRDefault="00DC3E3F" w:rsidP="00DC3E3F">
      <w:pPr>
        <w:rPr>
          <w:rFonts w:ascii="Arial" w:hAnsi="Arial" w:cs="Arial"/>
        </w:rPr>
      </w:pPr>
      <w:r>
        <w:rPr>
          <w:rFonts w:ascii="Arial" w:hAnsi="Arial" w:cs="Arial"/>
          <w:b/>
          <w:bCs/>
        </w:rPr>
        <w:t>Objet :</w:t>
      </w:r>
      <w:r>
        <w:rPr>
          <w:rFonts w:ascii="Arial" w:hAnsi="Arial" w:cs="Arial"/>
        </w:rPr>
        <w:t xml:space="preserve"> Financement de besoins ponctuels de trésorerie</w:t>
      </w:r>
    </w:p>
    <w:p w14:paraId="31E85288" w14:textId="77777777" w:rsidR="00DC3E3F" w:rsidRDefault="00DC3E3F" w:rsidP="00DC3E3F">
      <w:pPr>
        <w:rPr>
          <w:rFonts w:ascii="Arial" w:hAnsi="Arial" w:cs="Arial"/>
        </w:rPr>
      </w:pPr>
      <w:r>
        <w:rPr>
          <w:rFonts w:ascii="Arial" w:hAnsi="Arial" w:cs="Arial"/>
          <w:b/>
          <w:bCs/>
        </w:rPr>
        <w:t>Nature :</w:t>
      </w:r>
      <w:r>
        <w:rPr>
          <w:rFonts w:ascii="Arial" w:hAnsi="Arial" w:cs="Arial"/>
        </w:rPr>
        <w:t xml:space="preserve"> Ligne de trésorerie utilisable par tirage</w:t>
      </w:r>
    </w:p>
    <w:p w14:paraId="38B30073" w14:textId="77777777" w:rsidR="00DC3E3F" w:rsidRDefault="00DC3E3F" w:rsidP="00DC3E3F">
      <w:pPr>
        <w:rPr>
          <w:rFonts w:ascii="Arial" w:hAnsi="Arial" w:cs="Arial"/>
        </w:rPr>
      </w:pPr>
      <w:r>
        <w:rPr>
          <w:rFonts w:ascii="Arial" w:hAnsi="Arial" w:cs="Arial"/>
          <w:b/>
          <w:bCs/>
        </w:rPr>
        <w:lastRenderedPageBreak/>
        <w:t>Montant maximum :</w:t>
      </w:r>
      <w:r>
        <w:rPr>
          <w:rFonts w:ascii="Arial" w:hAnsi="Arial" w:cs="Arial"/>
        </w:rPr>
        <w:t xml:space="preserve"> 100 000, 00 EUR</w:t>
      </w:r>
    </w:p>
    <w:p w14:paraId="46251BD6" w14:textId="77777777" w:rsidR="00DC3E3F" w:rsidRDefault="00DC3E3F" w:rsidP="00DC3E3F">
      <w:pPr>
        <w:rPr>
          <w:rFonts w:ascii="Arial" w:hAnsi="Arial" w:cs="Arial"/>
        </w:rPr>
      </w:pPr>
      <w:r>
        <w:rPr>
          <w:rFonts w:ascii="Arial" w:hAnsi="Arial" w:cs="Arial"/>
          <w:b/>
          <w:bCs/>
        </w:rPr>
        <w:t>Durée maximum :</w:t>
      </w:r>
      <w:r>
        <w:rPr>
          <w:rFonts w:ascii="Arial" w:hAnsi="Arial" w:cs="Arial"/>
        </w:rPr>
        <w:t xml:space="preserve"> 12 mois </w:t>
      </w:r>
    </w:p>
    <w:p w14:paraId="18A9B557" w14:textId="77777777" w:rsidR="00DC3E3F" w:rsidRDefault="00DC3E3F" w:rsidP="00DC3E3F">
      <w:pPr>
        <w:rPr>
          <w:rFonts w:ascii="Arial" w:hAnsi="Arial" w:cs="Arial"/>
        </w:rPr>
      </w:pPr>
      <w:r>
        <w:rPr>
          <w:rFonts w:ascii="Arial" w:hAnsi="Arial" w:cs="Arial"/>
          <w:b/>
          <w:bCs/>
        </w:rPr>
        <w:t>Taux d'intérêt :</w:t>
      </w:r>
      <w:r>
        <w:rPr>
          <w:rFonts w:ascii="Arial" w:hAnsi="Arial" w:cs="Arial"/>
        </w:rPr>
        <w:t xml:space="preserve"> EURIBOR 1 SEMAINE + 1.17 % marge </w:t>
      </w:r>
    </w:p>
    <w:p w14:paraId="419E80DB" w14:textId="77777777" w:rsidR="00DC3E3F" w:rsidRDefault="00DC3E3F" w:rsidP="00DC3E3F">
      <w:pPr>
        <w:rPr>
          <w:rFonts w:ascii="Arial" w:hAnsi="Arial" w:cs="Arial"/>
        </w:rPr>
      </w:pPr>
      <w:r>
        <w:rPr>
          <w:rFonts w:ascii="Arial" w:hAnsi="Arial" w:cs="Arial"/>
          <w:b/>
          <w:bCs/>
        </w:rPr>
        <w:t>Base de calcul :</w:t>
      </w:r>
      <w:r>
        <w:rPr>
          <w:rFonts w:ascii="Arial" w:hAnsi="Arial" w:cs="Arial"/>
        </w:rPr>
        <w:t xml:space="preserve">  Exact/360 jours</w:t>
      </w:r>
    </w:p>
    <w:p w14:paraId="5C4899C4" w14:textId="77777777" w:rsidR="00DC3E3F" w:rsidRDefault="00DC3E3F" w:rsidP="00DC3E3F">
      <w:pPr>
        <w:rPr>
          <w:rFonts w:ascii="Arial" w:hAnsi="Arial" w:cs="Arial"/>
        </w:rPr>
      </w:pPr>
      <w:r>
        <w:rPr>
          <w:rFonts w:ascii="Arial" w:hAnsi="Arial" w:cs="Arial"/>
          <w:b/>
          <w:bCs/>
        </w:rPr>
        <w:t>Process de traitement automatique :</w:t>
      </w:r>
      <w:r>
        <w:rPr>
          <w:rFonts w:ascii="Arial" w:hAnsi="Arial" w:cs="Arial"/>
        </w:rPr>
        <w:t xml:space="preserve"> tirage : crédit d’office</w:t>
      </w:r>
    </w:p>
    <w:p w14:paraId="683FCE6A" w14:textId="77777777" w:rsidR="00DC3E3F" w:rsidRDefault="00DC3E3F" w:rsidP="00DC3E3F">
      <w:pPr>
        <w:rPr>
          <w:rFonts w:ascii="Arial" w:hAnsi="Arial" w:cs="Arial"/>
        </w:rPr>
      </w:pPr>
      <w:r>
        <w:rPr>
          <w:rFonts w:ascii="Arial" w:hAnsi="Arial" w:cs="Arial"/>
        </w:rPr>
        <w:t xml:space="preserve">                                                               Remboursement : débit d’office</w:t>
      </w:r>
    </w:p>
    <w:p w14:paraId="72DEAD05" w14:textId="00FCC9E0" w:rsidR="00DC3E3F" w:rsidRDefault="00DC3E3F" w:rsidP="00DC3E3F">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6AE07A7A" wp14:editId="16ABE72D">
                <wp:simplePos x="0" y="0"/>
                <wp:positionH relativeFrom="column">
                  <wp:posOffset>-178435</wp:posOffset>
                </wp:positionH>
                <wp:positionV relativeFrom="paragraph">
                  <wp:posOffset>226695</wp:posOffset>
                </wp:positionV>
                <wp:extent cx="6629400" cy="1381125"/>
                <wp:effectExtent l="12065" t="8890" r="6985" b="10160"/>
                <wp:wrapNone/>
                <wp:docPr id="9644847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81125"/>
                        </a:xfrm>
                        <a:prstGeom prst="rect">
                          <a:avLst/>
                        </a:prstGeom>
                        <a:solidFill>
                          <a:srgbClr val="FFFFFF"/>
                        </a:solidFill>
                        <a:ln w="9525">
                          <a:solidFill>
                            <a:srgbClr val="000000"/>
                          </a:solidFill>
                          <a:miter lim="800000"/>
                          <a:headEnd/>
                          <a:tailEnd/>
                        </a:ln>
                      </wps:spPr>
                      <wps:txbx>
                        <w:txbxContent>
                          <w:p w14:paraId="42A58DD7" w14:textId="77777777" w:rsidR="00DC3E3F" w:rsidRDefault="00DC3E3F" w:rsidP="00DC3E3F">
                            <w:pPr>
                              <w:rPr>
                                <w:rFonts w:ascii="Arial" w:hAnsi="Arial" w:cs="Arial"/>
                                <w:sz w:val="20"/>
                                <w:szCs w:val="20"/>
                              </w:rPr>
                            </w:pPr>
                            <w:r>
                              <w:rPr>
                                <w:rFonts w:ascii="Palace Script MT" w:hAnsi="Palace Script MT"/>
                              </w:rPr>
                              <w:sym w:font="Wingdings" w:char="F0B7"/>
                            </w:r>
                            <w:r>
                              <w:rPr>
                                <w:rFonts w:ascii="Palace Script MT" w:hAnsi="Palace Script MT"/>
                              </w:rPr>
                              <w:t xml:space="preserve"> </w:t>
                            </w:r>
                            <w:r>
                              <w:rPr>
                                <w:rFonts w:ascii="Arial" w:hAnsi="Arial" w:cs="Arial"/>
                                <w:sz w:val="20"/>
                                <w:szCs w:val="20"/>
                              </w:rPr>
                              <w:t xml:space="preserve">Créneau horaire de saisie : </w:t>
                            </w:r>
                          </w:p>
                          <w:p w14:paraId="643F4DDD" w14:textId="77777777" w:rsidR="00DC3E3F" w:rsidRDefault="00DC3E3F" w:rsidP="00DC3E3F">
                            <w:pPr>
                              <w:rPr>
                                <w:rFonts w:ascii="Arial" w:hAnsi="Arial" w:cs="Arial"/>
                                <w:sz w:val="20"/>
                                <w:szCs w:val="20"/>
                              </w:rPr>
                            </w:pPr>
                          </w:p>
                          <w:p w14:paraId="6B9B128A" w14:textId="77777777" w:rsidR="00DC3E3F" w:rsidRDefault="00DC3E3F" w:rsidP="00DC3E3F">
                            <w:pPr>
                              <w:rPr>
                                <w:rFonts w:ascii="Arial" w:hAnsi="Arial" w:cs="Arial"/>
                                <w:sz w:val="20"/>
                                <w:szCs w:val="20"/>
                              </w:rPr>
                            </w:pPr>
                            <w:r>
                              <w:rPr>
                                <w:rFonts w:ascii="Arial" w:hAnsi="Arial" w:cs="Arial"/>
                                <w:sz w:val="20"/>
                                <w:szCs w:val="20"/>
                              </w:rPr>
                              <w:t xml:space="preserve">                                                                       00H00                                 16H30                                23H59</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tblGrid>
                            <w:tr w:rsidR="00DC3E3F" w14:paraId="78E8ABA8" w14:textId="77777777">
                              <w:tc>
                                <w:tcPr>
                                  <w:tcW w:w="2552" w:type="dxa"/>
                                  <w:tcBorders>
                                    <w:top w:val="single" w:sz="4" w:space="0" w:color="000000"/>
                                    <w:left w:val="single" w:sz="4" w:space="0" w:color="000000"/>
                                    <w:bottom w:val="single" w:sz="4" w:space="0" w:color="000000"/>
                                    <w:right w:val="single" w:sz="4" w:space="0" w:color="000000"/>
                                  </w:tcBorders>
                                  <w:shd w:val="clear" w:color="auto" w:fill="0D0D0D"/>
                                </w:tcPr>
                                <w:p w14:paraId="3723309E" w14:textId="77777777" w:rsidR="00DC3E3F" w:rsidRDefault="00DC3E3F">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0CFA3C" w14:textId="77777777" w:rsidR="00DC3E3F" w:rsidRDefault="00DC3E3F">
                                  <w:pPr>
                                    <w:rPr>
                                      <w:rFonts w:ascii="Arial" w:hAnsi="Arial" w:cs="Arial"/>
                                      <w:sz w:val="20"/>
                                      <w:szCs w:val="20"/>
                                    </w:rPr>
                                  </w:pPr>
                                </w:p>
                              </w:tc>
                            </w:tr>
                          </w:tbl>
                          <w:p w14:paraId="110E4066" w14:textId="77777777" w:rsidR="00DC3E3F" w:rsidRDefault="00DC3E3F" w:rsidP="00DC3E3F">
                            <w:pPr>
                              <w:rPr>
                                <w:rFonts w:ascii="Arial" w:hAnsi="Arial" w:cs="Arial"/>
                                <w:sz w:val="20"/>
                                <w:szCs w:val="20"/>
                              </w:rPr>
                            </w:pPr>
                            <w:r>
                              <w:rPr>
                                <w:rFonts w:ascii="Arial" w:hAnsi="Arial" w:cs="Arial"/>
                                <w:sz w:val="20"/>
                                <w:szCs w:val="20"/>
                              </w:rPr>
                              <w:t xml:space="preserve">                                                                                           J+1                              J+2</w:t>
                            </w:r>
                          </w:p>
                          <w:p w14:paraId="6AC93FFA" w14:textId="77777777" w:rsidR="00DC3E3F" w:rsidRDefault="00DC3E3F" w:rsidP="00DC3E3F">
                            <w:pPr>
                              <w:rPr>
                                <w:rFonts w:ascii="Arial" w:hAnsi="Arial" w:cs="Arial"/>
                                <w:sz w:val="20"/>
                                <w:szCs w:val="20"/>
                              </w:rPr>
                            </w:pPr>
                          </w:p>
                          <w:p w14:paraId="45A83921" w14:textId="77777777" w:rsidR="00DC3E3F" w:rsidRDefault="00DC3E3F" w:rsidP="00DC3E3F">
                            <w:pPr>
                              <w:rPr>
                                <w:rFonts w:ascii="Arial" w:hAnsi="Arial" w:cs="Arial"/>
                                <w:sz w:val="20"/>
                                <w:szCs w:val="20"/>
                              </w:rPr>
                            </w:pPr>
                            <w:r>
                              <w:rPr>
                                <w:rFonts w:ascii="Arial" w:hAnsi="Arial" w:cs="Arial"/>
                                <w:sz w:val="20"/>
                                <w:szCs w:val="20"/>
                              </w:rPr>
                              <w:t xml:space="preserve">                                                                                              </w:t>
                            </w:r>
                          </w:p>
                          <w:p w14:paraId="61A482A0" w14:textId="77777777" w:rsidR="00DC3E3F" w:rsidRDefault="00DC3E3F" w:rsidP="00DC3E3F">
                            <w:pPr>
                              <w:rPr>
                                <w:rFonts w:ascii="Arial" w:hAnsi="Arial" w:cs="Arial"/>
                                <w:sz w:val="20"/>
                                <w:szCs w:val="20"/>
                              </w:rPr>
                            </w:pPr>
                            <w:r>
                              <w:rPr>
                                <w:rFonts w:ascii="Arial" w:hAnsi="Arial" w:cs="Arial"/>
                                <w:sz w:val="20"/>
                                <w:szCs w:val="20"/>
                              </w:rPr>
                              <w:t xml:space="preserve">  </w:t>
                            </w:r>
                            <w:r>
                              <w:rPr>
                                <w:rFonts w:ascii="Arial" w:hAnsi="Arial" w:cs="Arial"/>
                                <w:sz w:val="28"/>
                                <w:szCs w:val="28"/>
                              </w:rPr>
                              <w:sym w:font="Wingdings" w:char="F036"/>
                            </w:r>
                            <w:r>
                              <w:rPr>
                                <w:rFonts w:ascii="Arial" w:hAnsi="Arial" w:cs="Arial"/>
                                <w:sz w:val="28"/>
                                <w:szCs w:val="28"/>
                              </w:rPr>
                              <w:t xml:space="preserve"> </w:t>
                            </w:r>
                            <w:r>
                              <w:rPr>
                                <w:rFonts w:ascii="Arial" w:hAnsi="Arial" w:cs="Arial"/>
                                <w:sz w:val="20"/>
                                <w:szCs w:val="20"/>
                              </w:rPr>
                              <w:t>Date de valeur (J = jour ouvré)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07A7A" id="_x0000_t202" coordsize="21600,21600" o:spt="202" path="m,l,21600r21600,l21600,xe">
                <v:stroke joinstyle="miter"/>
                <v:path gradientshapeok="t" o:connecttype="rect"/>
              </v:shapetype>
              <v:shape id="Zone de texte 2" o:spid="_x0000_s1026" type="#_x0000_t202" style="position:absolute;margin-left:-14.05pt;margin-top:17.85pt;width:522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jKFQIAACwEAAAOAAAAZHJzL2Uyb0RvYy54bWysU9uO2yAQfa/Uf0C8N7bTJE2sOKtttqkq&#10;bS/Sth+AMbZRMUOBxE6/vgP2ZtOL+lCVB8Qww5mZM4ftzdApchLWSdAFzWYpJUJzqKRuCvrl8+HF&#10;mhLnma6YAi0KehaO3uyeP9v2JhdzaEFVwhIE0S7vTUFb702eJI63omNuBkZodNZgO+bRtE1SWdYj&#10;eqeSeZqukh5sZSxw4Rze3o1Ouov4dS24/1jXTniiCoq1+bjbuJdhT3ZbljeWmVbyqQz2D1V0TGpM&#10;eoG6Y56Ro5W/QXWSW3BQ+xmHLoG6llzEHrCbLP2lm4eWGRF7QXKcudDk/h8s/3B6MJ8s8cNrGHCA&#10;sQln7oF/dUTDvmW6EbfWQt8KVmHiLFCW9Mbl09NAtctdACn791DhkNnRQwQaatsFVrBPgug4gPOF&#10;dDF4wvFytZpvFim6OPqyl+ssmy9jDpY/PjfW+bcCOhIOBbU41QjPTvfOh3JY/hgSsjlQsjpIpaJh&#10;m3KvLDkxVMAhrgn9pzClSV/QzRJz/x0ijetPEJ30KGUlu4KuL0EsD7y90VUUmmdSjWcsWemJyMDd&#10;yKIfygEDA6ElVGek1MIoWfxieGjBfqekR7kW1H07MisoUe80jmWTLRZB39FYLF/N0bDXnvLawzRH&#10;qIJ6Ssbj3o9/4misbFrMNApBwy2OspaR5KeqprpRkpH76fsEzV/bMerpk+9+AAAA//8DAFBLAwQU&#10;AAYACAAAACEA05N26uIAAAALAQAADwAAAGRycy9kb3ducmV2LnhtbEyPy07DMBBF90j8gzVIbFDr&#10;PEibhjgVQgLRHbQVbN14mkTY4xC7afh73BUsR/fo3jPlejKajTi4zpKAeB4BQ6qt6qgRsN89z3Jg&#10;zktSUltCAT/oYF1dX5WyUPZM7zhufcNCCblCCmi97wvOXd2ikW5ue6SQHe1gpA/n0HA1yHMoN5on&#10;UbTgRnYUFlrZ41OL9df2ZATk96/jp9ukbx/14qhX/m45vnwPQtzeTI8PwDxO/g+Gi35Qhyo4HeyJ&#10;lGNawCzJ44AKSLMlsAsQxdkK2EFAkqUJ8Krk/3+ofgEAAP//AwBQSwECLQAUAAYACAAAACEAtoM4&#10;kv4AAADhAQAAEwAAAAAAAAAAAAAAAAAAAAAAW0NvbnRlbnRfVHlwZXNdLnhtbFBLAQItABQABgAI&#10;AAAAIQA4/SH/1gAAAJQBAAALAAAAAAAAAAAAAAAAAC8BAABfcmVscy8ucmVsc1BLAQItABQABgAI&#10;AAAAIQAKkRjKFQIAACwEAAAOAAAAAAAAAAAAAAAAAC4CAABkcnMvZTJvRG9jLnhtbFBLAQItABQA&#10;BgAIAAAAIQDTk3bq4gAAAAsBAAAPAAAAAAAAAAAAAAAAAG8EAABkcnMvZG93bnJldi54bWxQSwUG&#10;AAAAAAQABADzAAAAfgUAAAAA&#10;">
                <v:textbox>
                  <w:txbxContent>
                    <w:p w14:paraId="42A58DD7" w14:textId="77777777" w:rsidR="00DC3E3F" w:rsidRDefault="00DC3E3F" w:rsidP="00DC3E3F">
                      <w:pPr>
                        <w:rPr>
                          <w:rFonts w:ascii="Arial" w:hAnsi="Arial" w:cs="Arial"/>
                          <w:sz w:val="20"/>
                          <w:szCs w:val="20"/>
                        </w:rPr>
                      </w:pPr>
                      <w:r>
                        <w:rPr>
                          <w:rFonts w:ascii="Palace Script MT" w:hAnsi="Palace Script MT"/>
                        </w:rPr>
                        <w:sym w:font="Wingdings" w:char="F0B7"/>
                      </w:r>
                      <w:r>
                        <w:rPr>
                          <w:rFonts w:ascii="Palace Script MT" w:hAnsi="Palace Script MT"/>
                        </w:rPr>
                        <w:t xml:space="preserve"> </w:t>
                      </w:r>
                      <w:r>
                        <w:rPr>
                          <w:rFonts w:ascii="Arial" w:hAnsi="Arial" w:cs="Arial"/>
                          <w:sz w:val="20"/>
                          <w:szCs w:val="20"/>
                        </w:rPr>
                        <w:t xml:space="preserve">Créneau horaire de saisie : </w:t>
                      </w:r>
                    </w:p>
                    <w:p w14:paraId="643F4DDD" w14:textId="77777777" w:rsidR="00DC3E3F" w:rsidRDefault="00DC3E3F" w:rsidP="00DC3E3F">
                      <w:pPr>
                        <w:rPr>
                          <w:rFonts w:ascii="Arial" w:hAnsi="Arial" w:cs="Arial"/>
                          <w:sz w:val="20"/>
                          <w:szCs w:val="20"/>
                        </w:rPr>
                      </w:pPr>
                    </w:p>
                    <w:p w14:paraId="6B9B128A" w14:textId="77777777" w:rsidR="00DC3E3F" w:rsidRDefault="00DC3E3F" w:rsidP="00DC3E3F">
                      <w:pPr>
                        <w:rPr>
                          <w:rFonts w:ascii="Arial" w:hAnsi="Arial" w:cs="Arial"/>
                          <w:sz w:val="20"/>
                          <w:szCs w:val="20"/>
                        </w:rPr>
                      </w:pPr>
                      <w:r>
                        <w:rPr>
                          <w:rFonts w:ascii="Arial" w:hAnsi="Arial" w:cs="Arial"/>
                          <w:sz w:val="20"/>
                          <w:szCs w:val="20"/>
                        </w:rPr>
                        <w:t xml:space="preserve">                                                                       00H00                                 16H30                                23H59</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tblGrid>
                      <w:tr w:rsidR="00DC3E3F" w14:paraId="78E8ABA8" w14:textId="77777777">
                        <w:tc>
                          <w:tcPr>
                            <w:tcW w:w="2552" w:type="dxa"/>
                            <w:tcBorders>
                              <w:top w:val="single" w:sz="4" w:space="0" w:color="000000"/>
                              <w:left w:val="single" w:sz="4" w:space="0" w:color="000000"/>
                              <w:bottom w:val="single" w:sz="4" w:space="0" w:color="000000"/>
                              <w:right w:val="single" w:sz="4" w:space="0" w:color="000000"/>
                            </w:tcBorders>
                            <w:shd w:val="clear" w:color="auto" w:fill="0D0D0D"/>
                          </w:tcPr>
                          <w:p w14:paraId="3723309E" w14:textId="77777777" w:rsidR="00DC3E3F" w:rsidRDefault="00DC3E3F">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0CFA3C" w14:textId="77777777" w:rsidR="00DC3E3F" w:rsidRDefault="00DC3E3F">
                            <w:pPr>
                              <w:rPr>
                                <w:rFonts w:ascii="Arial" w:hAnsi="Arial" w:cs="Arial"/>
                                <w:sz w:val="20"/>
                                <w:szCs w:val="20"/>
                              </w:rPr>
                            </w:pPr>
                          </w:p>
                        </w:tc>
                      </w:tr>
                    </w:tbl>
                    <w:p w14:paraId="110E4066" w14:textId="77777777" w:rsidR="00DC3E3F" w:rsidRDefault="00DC3E3F" w:rsidP="00DC3E3F">
                      <w:pPr>
                        <w:rPr>
                          <w:rFonts w:ascii="Arial" w:hAnsi="Arial" w:cs="Arial"/>
                          <w:sz w:val="20"/>
                          <w:szCs w:val="20"/>
                        </w:rPr>
                      </w:pPr>
                      <w:r>
                        <w:rPr>
                          <w:rFonts w:ascii="Arial" w:hAnsi="Arial" w:cs="Arial"/>
                          <w:sz w:val="20"/>
                          <w:szCs w:val="20"/>
                        </w:rPr>
                        <w:t xml:space="preserve">                                                                                           J+1                              J+2</w:t>
                      </w:r>
                    </w:p>
                    <w:p w14:paraId="6AC93FFA" w14:textId="77777777" w:rsidR="00DC3E3F" w:rsidRDefault="00DC3E3F" w:rsidP="00DC3E3F">
                      <w:pPr>
                        <w:rPr>
                          <w:rFonts w:ascii="Arial" w:hAnsi="Arial" w:cs="Arial"/>
                          <w:sz w:val="20"/>
                          <w:szCs w:val="20"/>
                        </w:rPr>
                      </w:pPr>
                    </w:p>
                    <w:p w14:paraId="45A83921" w14:textId="77777777" w:rsidR="00DC3E3F" w:rsidRDefault="00DC3E3F" w:rsidP="00DC3E3F">
                      <w:pPr>
                        <w:rPr>
                          <w:rFonts w:ascii="Arial" w:hAnsi="Arial" w:cs="Arial"/>
                          <w:sz w:val="20"/>
                          <w:szCs w:val="20"/>
                        </w:rPr>
                      </w:pPr>
                      <w:r>
                        <w:rPr>
                          <w:rFonts w:ascii="Arial" w:hAnsi="Arial" w:cs="Arial"/>
                          <w:sz w:val="20"/>
                          <w:szCs w:val="20"/>
                        </w:rPr>
                        <w:t xml:space="preserve">                                                                                              </w:t>
                      </w:r>
                    </w:p>
                    <w:p w14:paraId="61A482A0" w14:textId="77777777" w:rsidR="00DC3E3F" w:rsidRDefault="00DC3E3F" w:rsidP="00DC3E3F">
                      <w:pPr>
                        <w:rPr>
                          <w:rFonts w:ascii="Arial" w:hAnsi="Arial" w:cs="Arial"/>
                          <w:sz w:val="20"/>
                          <w:szCs w:val="20"/>
                        </w:rPr>
                      </w:pPr>
                      <w:r>
                        <w:rPr>
                          <w:rFonts w:ascii="Arial" w:hAnsi="Arial" w:cs="Arial"/>
                          <w:sz w:val="20"/>
                          <w:szCs w:val="20"/>
                        </w:rPr>
                        <w:t xml:space="preserve">  </w:t>
                      </w:r>
                      <w:r>
                        <w:rPr>
                          <w:rFonts w:ascii="Arial" w:hAnsi="Arial" w:cs="Arial"/>
                          <w:sz w:val="28"/>
                          <w:szCs w:val="28"/>
                        </w:rPr>
                        <w:sym w:font="Wingdings" w:char="F036"/>
                      </w:r>
                      <w:r>
                        <w:rPr>
                          <w:rFonts w:ascii="Arial" w:hAnsi="Arial" w:cs="Arial"/>
                          <w:sz w:val="28"/>
                          <w:szCs w:val="28"/>
                        </w:rPr>
                        <w:t xml:space="preserve"> </w:t>
                      </w:r>
                      <w:r>
                        <w:rPr>
                          <w:rFonts w:ascii="Arial" w:hAnsi="Arial" w:cs="Arial"/>
                          <w:sz w:val="20"/>
                          <w:szCs w:val="20"/>
                        </w:rPr>
                        <w:t>Date de valeur (J = jour ouvré)</w:t>
                      </w:r>
                    </w:p>
                  </w:txbxContent>
                </v:textbox>
              </v:shape>
            </w:pict>
          </mc:Fallback>
        </mc:AlternateContent>
      </w:r>
      <w:r>
        <w:rPr>
          <w:rFonts w:ascii="Arial" w:hAnsi="Arial" w:cs="Arial"/>
          <w:b/>
          <w:bCs/>
        </w:rPr>
        <w:t>Demande de tirage</w:t>
      </w:r>
    </w:p>
    <w:p w14:paraId="63A083F6" w14:textId="64649032" w:rsidR="00DC3E3F" w:rsidRDefault="00DC3E3F" w:rsidP="00DC3E3F">
      <w:pPr>
        <w:rPr>
          <w:rFonts w:ascii="Arial" w:hAnsi="Arial" w:cs="Arial"/>
        </w:rPr>
      </w:pPr>
    </w:p>
    <w:p w14:paraId="1FF36AFB" w14:textId="77777777" w:rsidR="00DC3E3F" w:rsidRDefault="00DC3E3F" w:rsidP="00DC3E3F">
      <w:pPr>
        <w:rPr>
          <w:rFonts w:ascii="Arial" w:hAnsi="Arial" w:cs="Arial"/>
        </w:rPr>
      </w:pPr>
    </w:p>
    <w:p w14:paraId="585BE743" w14:textId="77777777" w:rsidR="00DC3E3F" w:rsidRDefault="00DC3E3F" w:rsidP="00DC3E3F">
      <w:pPr>
        <w:rPr>
          <w:rFonts w:ascii="Arial" w:hAnsi="Arial" w:cs="Arial"/>
        </w:rPr>
      </w:pPr>
    </w:p>
    <w:p w14:paraId="58C3EB80" w14:textId="77777777" w:rsidR="00DC3E3F" w:rsidRDefault="00DC3E3F" w:rsidP="00DC3E3F">
      <w:pPr>
        <w:rPr>
          <w:rFonts w:ascii="Arial" w:hAnsi="Arial" w:cs="Arial"/>
        </w:rPr>
      </w:pPr>
    </w:p>
    <w:p w14:paraId="6F2E787F" w14:textId="77777777" w:rsidR="00DC3E3F" w:rsidRDefault="00DC3E3F" w:rsidP="00DC3E3F">
      <w:pPr>
        <w:rPr>
          <w:rFonts w:ascii="Arial" w:hAnsi="Arial" w:cs="Arial"/>
        </w:rPr>
      </w:pPr>
    </w:p>
    <w:p w14:paraId="64D188A9" w14:textId="77777777" w:rsidR="00DC3E3F" w:rsidRDefault="00DC3E3F" w:rsidP="00DC3E3F">
      <w:pPr>
        <w:rPr>
          <w:rFonts w:ascii="Arial" w:hAnsi="Arial" w:cs="Arial"/>
        </w:rPr>
      </w:pPr>
      <w:r>
        <w:rPr>
          <w:rFonts w:ascii="Arial" w:hAnsi="Arial" w:cs="Arial"/>
          <w:b/>
          <w:bCs/>
        </w:rPr>
        <w:t>Commission d'engagement :</w:t>
      </w:r>
      <w:r>
        <w:rPr>
          <w:rFonts w:ascii="Arial" w:hAnsi="Arial" w:cs="Arial"/>
        </w:rPr>
        <w:t xml:space="preserve"> 0 euros/prélevée une seule fois</w:t>
      </w:r>
    </w:p>
    <w:p w14:paraId="5574A438" w14:textId="77777777" w:rsidR="00DC3E3F" w:rsidRDefault="00DC3E3F" w:rsidP="00DC3E3F">
      <w:pPr>
        <w:rPr>
          <w:rFonts w:ascii="Arial" w:hAnsi="Arial" w:cs="Arial"/>
        </w:rPr>
      </w:pPr>
      <w:r>
        <w:rPr>
          <w:rFonts w:ascii="Arial" w:hAnsi="Arial" w:cs="Arial"/>
        </w:rPr>
        <w:t>Commission de non-utilisation : 0.10 % de la différence entre le montant de la LTI et l’encours quotidien moyen périodicité identique aux intérêts</w:t>
      </w:r>
    </w:p>
    <w:p w14:paraId="76CCD69A" w14:textId="77777777" w:rsidR="00DC3E3F" w:rsidRDefault="00DC3E3F" w:rsidP="00DC3E3F">
      <w:pPr>
        <w:rPr>
          <w:rFonts w:ascii="ArialMT" w:hAnsi="ArialMT" w:cs="ArialMT"/>
          <w:sz w:val="20"/>
          <w:szCs w:val="20"/>
        </w:rPr>
      </w:pPr>
    </w:p>
    <w:p w14:paraId="2B51BF1E" w14:textId="77777777" w:rsidR="00DC3E3F" w:rsidRDefault="00DC3E3F" w:rsidP="00DC3E3F">
      <w:pPr>
        <w:rPr>
          <w:rFonts w:ascii="Arial" w:hAnsi="Arial" w:cs="Arial"/>
          <w:b/>
          <w:bCs/>
        </w:rPr>
      </w:pPr>
    </w:p>
    <w:p w14:paraId="7A1DAE66" w14:textId="4C17852F" w:rsidR="00DC3E3F" w:rsidRDefault="00DC3E3F" w:rsidP="00DC3E3F">
      <w:pPr>
        <w:rPr>
          <w:rFonts w:ascii="Arial" w:hAnsi="Arial" w:cs="Arial"/>
          <w:b/>
          <w:bCs/>
        </w:rPr>
      </w:pPr>
      <w:r>
        <w:rPr>
          <w:noProof/>
        </w:rPr>
        <mc:AlternateContent>
          <mc:Choice Requires="wps">
            <w:drawing>
              <wp:anchor distT="0" distB="0" distL="114300" distR="114300" simplePos="0" relativeHeight="251660288" behindDoc="0" locked="0" layoutInCell="1" allowOverlap="1" wp14:anchorId="40C78E29" wp14:editId="6078B862">
                <wp:simplePos x="0" y="0"/>
                <wp:positionH relativeFrom="column">
                  <wp:posOffset>-178435</wp:posOffset>
                </wp:positionH>
                <wp:positionV relativeFrom="paragraph">
                  <wp:posOffset>212725</wp:posOffset>
                </wp:positionV>
                <wp:extent cx="6629400" cy="1285875"/>
                <wp:effectExtent l="12065" t="13970" r="6985" b="5080"/>
                <wp:wrapNone/>
                <wp:docPr id="28023877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85875"/>
                        </a:xfrm>
                        <a:prstGeom prst="rect">
                          <a:avLst/>
                        </a:prstGeom>
                        <a:solidFill>
                          <a:srgbClr val="FFFFFF"/>
                        </a:solidFill>
                        <a:ln w="9525">
                          <a:solidFill>
                            <a:srgbClr val="000000"/>
                          </a:solidFill>
                          <a:miter lim="800000"/>
                          <a:headEnd/>
                          <a:tailEnd/>
                        </a:ln>
                      </wps:spPr>
                      <wps:txbx>
                        <w:txbxContent>
                          <w:p w14:paraId="0BE024B5" w14:textId="77777777" w:rsidR="00DC3E3F" w:rsidRDefault="00DC3E3F" w:rsidP="00DC3E3F">
                            <w:pPr>
                              <w:rPr>
                                <w:rFonts w:ascii="Arial" w:hAnsi="Arial" w:cs="Arial"/>
                                <w:sz w:val="20"/>
                                <w:szCs w:val="20"/>
                              </w:rPr>
                            </w:pPr>
                            <w:r>
                              <w:rPr>
                                <w:rFonts w:ascii="Palace Script MT" w:hAnsi="Palace Script MT"/>
                              </w:rPr>
                              <w:sym w:font="Wingdings" w:char="F0B7"/>
                            </w:r>
                            <w:r>
                              <w:rPr>
                                <w:rFonts w:ascii="Palace Script MT" w:hAnsi="Palace Script MT"/>
                              </w:rPr>
                              <w:t xml:space="preserve"> </w:t>
                            </w:r>
                            <w:r>
                              <w:rPr>
                                <w:rFonts w:ascii="Arial" w:hAnsi="Arial" w:cs="Arial"/>
                                <w:sz w:val="20"/>
                                <w:szCs w:val="20"/>
                              </w:rPr>
                              <w:t xml:space="preserve">Créneau horaire de saisie : </w:t>
                            </w:r>
                          </w:p>
                          <w:p w14:paraId="30ECE4AF" w14:textId="77777777" w:rsidR="00DC3E3F" w:rsidRDefault="00DC3E3F" w:rsidP="00DC3E3F">
                            <w:pPr>
                              <w:rPr>
                                <w:rFonts w:ascii="Arial" w:hAnsi="Arial" w:cs="Arial"/>
                                <w:sz w:val="20"/>
                                <w:szCs w:val="20"/>
                              </w:rPr>
                            </w:pPr>
                          </w:p>
                          <w:p w14:paraId="0B0DD882" w14:textId="77777777" w:rsidR="00DC3E3F" w:rsidRDefault="00DC3E3F" w:rsidP="00DC3E3F">
                            <w:pPr>
                              <w:rPr>
                                <w:rFonts w:ascii="Arial" w:hAnsi="Arial" w:cs="Arial"/>
                                <w:sz w:val="20"/>
                                <w:szCs w:val="20"/>
                              </w:rPr>
                            </w:pPr>
                            <w:r>
                              <w:rPr>
                                <w:rFonts w:ascii="Arial" w:hAnsi="Arial" w:cs="Arial"/>
                                <w:sz w:val="20"/>
                                <w:szCs w:val="20"/>
                              </w:rPr>
                              <w:t xml:space="preserve">                                                                                                                                        </w:t>
                            </w:r>
                          </w:p>
                          <w:p w14:paraId="2D3798EB" w14:textId="77777777" w:rsidR="00DC3E3F" w:rsidRDefault="00DC3E3F" w:rsidP="00DC3E3F">
                            <w:pPr>
                              <w:rPr>
                                <w:rFonts w:ascii="Arial" w:hAnsi="Arial" w:cs="Arial"/>
                                <w:sz w:val="20"/>
                                <w:szCs w:val="20"/>
                              </w:rPr>
                            </w:pPr>
                            <w:r>
                              <w:rPr>
                                <w:rFonts w:ascii="Arial" w:hAnsi="Arial" w:cs="Arial"/>
                                <w:sz w:val="20"/>
                                <w:szCs w:val="20"/>
                              </w:rPr>
                              <w:t xml:space="preserve">                                                                     00H00                                   16H30                              23H59</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tblGrid>
                            <w:tr w:rsidR="00DC3E3F" w14:paraId="2A0277CF" w14:textId="77777777">
                              <w:tc>
                                <w:tcPr>
                                  <w:tcW w:w="2552" w:type="dxa"/>
                                  <w:tcBorders>
                                    <w:top w:val="single" w:sz="4" w:space="0" w:color="000000"/>
                                    <w:left w:val="single" w:sz="4" w:space="0" w:color="000000"/>
                                    <w:bottom w:val="single" w:sz="4" w:space="0" w:color="000000"/>
                                    <w:right w:val="single" w:sz="4" w:space="0" w:color="000000"/>
                                  </w:tcBorders>
                                  <w:shd w:val="clear" w:color="auto" w:fill="262626"/>
                                </w:tcPr>
                                <w:p w14:paraId="48F230DC" w14:textId="77777777" w:rsidR="00DC3E3F" w:rsidRDefault="00DC3E3F">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BFBFBF"/>
                                </w:tcPr>
                                <w:p w14:paraId="0E493853" w14:textId="77777777" w:rsidR="00DC3E3F" w:rsidRDefault="00DC3E3F">
                                  <w:pPr>
                                    <w:rPr>
                                      <w:rFonts w:ascii="Arial" w:hAnsi="Arial" w:cs="Arial"/>
                                      <w:sz w:val="20"/>
                                      <w:szCs w:val="20"/>
                                    </w:rPr>
                                  </w:pPr>
                                </w:p>
                              </w:tc>
                            </w:tr>
                          </w:tbl>
                          <w:p w14:paraId="3BBB07C2" w14:textId="77777777" w:rsidR="00DC3E3F" w:rsidRDefault="00DC3E3F" w:rsidP="00DC3E3F">
                            <w:pPr>
                              <w:rPr>
                                <w:rFonts w:ascii="Arial" w:hAnsi="Arial" w:cs="Arial"/>
                                <w:sz w:val="20"/>
                                <w:szCs w:val="20"/>
                              </w:rPr>
                            </w:pPr>
                            <w:r>
                              <w:rPr>
                                <w:rFonts w:ascii="Arial" w:hAnsi="Arial" w:cs="Arial"/>
                                <w:sz w:val="20"/>
                                <w:szCs w:val="20"/>
                              </w:rPr>
                              <w:t xml:space="preserve">                                                                                    J+1                                                J+2                                   </w:t>
                            </w:r>
                          </w:p>
                          <w:p w14:paraId="112562DD" w14:textId="77777777" w:rsidR="00DC3E3F" w:rsidRDefault="00DC3E3F" w:rsidP="00DC3E3F">
                            <w:pPr>
                              <w:rPr>
                                <w:rFonts w:ascii="Arial" w:hAnsi="Arial" w:cs="Arial"/>
                                <w:sz w:val="20"/>
                                <w:szCs w:val="20"/>
                              </w:rPr>
                            </w:pPr>
                            <w:r>
                              <w:rPr>
                                <w:rFonts w:ascii="Arial" w:hAnsi="Arial" w:cs="Arial"/>
                                <w:sz w:val="20"/>
                                <w:szCs w:val="20"/>
                              </w:rPr>
                              <w:t xml:space="preserve">  </w:t>
                            </w:r>
                            <w:r>
                              <w:rPr>
                                <w:rFonts w:ascii="Arial" w:hAnsi="Arial" w:cs="Arial"/>
                                <w:sz w:val="28"/>
                                <w:szCs w:val="28"/>
                              </w:rPr>
                              <w:sym w:font="Wingdings" w:char="F036"/>
                            </w:r>
                            <w:r>
                              <w:rPr>
                                <w:rFonts w:ascii="Arial" w:hAnsi="Arial" w:cs="Arial"/>
                                <w:sz w:val="28"/>
                                <w:szCs w:val="28"/>
                              </w:rPr>
                              <w:t xml:space="preserve"> </w:t>
                            </w:r>
                            <w:r>
                              <w:rPr>
                                <w:rFonts w:ascii="Arial" w:hAnsi="Arial" w:cs="Arial"/>
                                <w:sz w:val="20"/>
                                <w:szCs w:val="20"/>
                              </w:rPr>
                              <w:t>Date de valeur (J = jour ouvré)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8E29" id="Zone de texte 1" o:spid="_x0000_s1027" type="#_x0000_t202" style="position:absolute;margin-left:-14.05pt;margin-top:16.75pt;width:522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dbGQ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q2yzSNHF0TfP1sv1zTLGYPnTd2OdfyugI+FQUItdjfDs9OB8SIflT09CNAdKVgepVDRs&#10;U+6VJSeGCjjENaH/9Exp0hd0s8yWIwN/hUjj+hNEJz1KWcmuoOvLI5YH3t7oKgrNM6nGM6as9ERk&#10;4G5k0Q/lQGQ1sRx4LaE6I7MWRuXipOGhBfudkh5VW1D37cisoES909idzXyxCDKPxmJ5k6Fhrz3l&#10;tYdpjlAF9ZSMx70fR+NorGxajDTqQcMddrSWkevnrKb0UZmxBdMUBelf2/HV86zvfgAAAP//AwBQ&#10;SwMEFAAGAAgAAAAhAMmCUv/hAAAACwEAAA8AAABkcnMvZG93bnJldi54bWxMj8FOwzAQRO9I/IO1&#10;SFxQayehIQ3ZVAgJBDcoCK5u7CYR8TrYbhr+HvcEx9U8zbytNrMZ2KSd7y0hJEsBTFNjVU8twvvb&#10;w6IA5oMkJQdLGuFHe9jU52eVLJU90quetqFlsYR8KRG6EMaSc9902ki/tKOmmO2tMzLE07VcOXmM&#10;5WbgqRA5N7KnuNDJUd93uvnaHgxCcf00ffrn7OWjyffDOlzdTI/fDvHyYr67BRb0HP5gOOlHdaij&#10;084eSHk2ICzSIokoQpatgJ0AkazWwHYIaZYL4HXF//9Q/wIAAP//AwBQSwECLQAUAAYACAAAACEA&#10;toM4kv4AAADhAQAAEwAAAAAAAAAAAAAAAAAAAAAAW0NvbnRlbnRfVHlwZXNdLnhtbFBLAQItABQA&#10;BgAIAAAAIQA4/SH/1gAAAJQBAAALAAAAAAAAAAAAAAAAAC8BAABfcmVscy8ucmVsc1BLAQItABQA&#10;BgAIAAAAIQCSkJdbGQIAADMEAAAOAAAAAAAAAAAAAAAAAC4CAABkcnMvZTJvRG9jLnhtbFBLAQIt&#10;ABQABgAIAAAAIQDJglL/4QAAAAsBAAAPAAAAAAAAAAAAAAAAAHMEAABkcnMvZG93bnJldi54bWxQ&#10;SwUGAAAAAAQABADzAAAAgQUAAAAA&#10;">
                <v:textbox>
                  <w:txbxContent>
                    <w:p w14:paraId="0BE024B5" w14:textId="77777777" w:rsidR="00DC3E3F" w:rsidRDefault="00DC3E3F" w:rsidP="00DC3E3F">
                      <w:pPr>
                        <w:rPr>
                          <w:rFonts w:ascii="Arial" w:hAnsi="Arial" w:cs="Arial"/>
                          <w:sz w:val="20"/>
                          <w:szCs w:val="20"/>
                        </w:rPr>
                      </w:pPr>
                      <w:r>
                        <w:rPr>
                          <w:rFonts w:ascii="Palace Script MT" w:hAnsi="Palace Script MT"/>
                        </w:rPr>
                        <w:sym w:font="Wingdings" w:char="F0B7"/>
                      </w:r>
                      <w:r>
                        <w:rPr>
                          <w:rFonts w:ascii="Palace Script MT" w:hAnsi="Palace Script MT"/>
                        </w:rPr>
                        <w:t xml:space="preserve"> </w:t>
                      </w:r>
                      <w:r>
                        <w:rPr>
                          <w:rFonts w:ascii="Arial" w:hAnsi="Arial" w:cs="Arial"/>
                          <w:sz w:val="20"/>
                          <w:szCs w:val="20"/>
                        </w:rPr>
                        <w:t xml:space="preserve">Créneau horaire de saisie : </w:t>
                      </w:r>
                    </w:p>
                    <w:p w14:paraId="30ECE4AF" w14:textId="77777777" w:rsidR="00DC3E3F" w:rsidRDefault="00DC3E3F" w:rsidP="00DC3E3F">
                      <w:pPr>
                        <w:rPr>
                          <w:rFonts w:ascii="Arial" w:hAnsi="Arial" w:cs="Arial"/>
                          <w:sz w:val="20"/>
                          <w:szCs w:val="20"/>
                        </w:rPr>
                      </w:pPr>
                    </w:p>
                    <w:p w14:paraId="0B0DD882" w14:textId="77777777" w:rsidR="00DC3E3F" w:rsidRDefault="00DC3E3F" w:rsidP="00DC3E3F">
                      <w:pPr>
                        <w:rPr>
                          <w:rFonts w:ascii="Arial" w:hAnsi="Arial" w:cs="Arial"/>
                          <w:sz w:val="20"/>
                          <w:szCs w:val="20"/>
                        </w:rPr>
                      </w:pPr>
                      <w:r>
                        <w:rPr>
                          <w:rFonts w:ascii="Arial" w:hAnsi="Arial" w:cs="Arial"/>
                          <w:sz w:val="20"/>
                          <w:szCs w:val="20"/>
                        </w:rPr>
                        <w:t xml:space="preserve">                                                                                                                                        </w:t>
                      </w:r>
                    </w:p>
                    <w:p w14:paraId="2D3798EB" w14:textId="77777777" w:rsidR="00DC3E3F" w:rsidRDefault="00DC3E3F" w:rsidP="00DC3E3F">
                      <w:pPr>
                        <w:rPr>
                          <w:rFonts w:ascii="Arial" w:hAnsi="Arial" w:cs="Arial"/>
                          <w:sz w:val="20"/>
                          <w:szCs w:val="20"/>
                        </w:rPr>
                      </w:pPr>
                      <w:r>
                        <w:rPr>
                          <w:rFonts w:ascii="Arial" w:hAnsi="Arial" w:cs="Arial"/>
                          <w:sz w:val="20"/>
                          <w:szCs w:val="20"/>
                        </w:rPr>
                        <w:t xml:space="preserve">                                                                     00H00                                   16H30                              23H59</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tblGrid>
                      <w:tr w:rsidR="00DC3E3F" w14:paraId="2A0277CF" w14:textId="77777777">
                        <w:tc>
                          <w:tcPr>
                            <w:tcW w:w="2552" w:type="dxa"/>
                            <w:tcBorders>
                              <w:top w:val="single" w:sz="4" w:space="0" w:color="000000"/>
                              <w:left w:val="single" w:sz="4" w:space="0" w:color="000000"/>
                              <w:bottom w:val="single" w:sz="4" w:space="0" w:color="000000"/>
                              <w:right w:val="single" w:sz="4" w:space="0" w:color="000000"/>
                            </w:tcBorders>
                            <w:shd w:val="clear" w:color="auto" w:fill="262626"/>
                          </w:tcPr>
                          <w:p w14:paraId="48F230DC" w14:textId="77777777" w:rsidR="00DC3E3F" w:rsidRDefault="00DC3E3F">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BFBFBF"/>
                          </w:tcPr>
                          <w:p w14:paraId="0E493853" w14:textId="77777777" w:rsidR="00DC3E3F" w:rsidRDefault="00DC3E3F">
                            <w:pPr>
                              <w:rPr>
                                <w:rFonts w:ascii="Arial" w:hAnsi="Arial" w:cs="Arial"/>
                                <w:sz w:val="20"/>
                                <w:szCs w:val="20"/>
                              </w:rPr>
                            </w:pPr>
                          </w:p>
                        </w:tc>
                      </w:tr>
                    </w:tbl>
                    <w:p w14:paraId="3BBB07C2" w14:textId="77777777" w:rsidR="00DC3E3F" w:rsidRDefault="00DC3E3F" w:rsidP="00DC3E3F">
                      <w:pPr>
                        <w:rPr>
                          <w:rFonts w:ascii="Arial" w:hAnsi="Arial" w:cs="Arial"/>
                          <w:sz w:val="20"/>
                          <w:szCs w:val="20"/>
                        </w:rPr>
                      </w:pPr>
                      <w:r>
                        <w:rPr>
                          <w:rFonts w:ascii="Arial" w:hAnsi="Arial" w:cs="Arial"/>
                          <w:sz w:val="20"/>
                          <w:szCs w:val="20"/>
                        </w:rPr>
                        <w:t xml:space="preserve">                                                                                    J+1                                                J+2                                   </w:t>
                      </w:r>
                    </w:p>
                    <w:p w14:paraId="112562DD" w14:textId="77777777" w:rsidR="00DC3E3F" w:rsidRDefault="00DC3E3F" w:rsidP="00DC3E3F">
                      <w:pPr>
                        <w:rPr>
                          <w:rFonts w:ascii="Arial" w:hAnsi="Arial" w:cs="Arial"/>
                          <w:sz w:val="20"/>
                          <w:szCs w:val="20"/>
                        </w:rPr>
                      </w:pPr>
                      <w:r>
                        <w:rPr>
                          <w:rFonts w:ascii="Arial" w:hAnsi="Arial" w:cs="Arial"/>
                          <w:sz w:val="20"/>
                          <w:szCs w:val="20"/>
                        </w:rPr>
                        <w:t xml:space="preserve">  </w:t>
                      </w:r>
                      <w:r>
                        <w:rPr>
                          <w:rFonts w:ascii="Arial" w:hAnsi="Arial" w:cs="Arial"/>
                          <w:sz w:val="28"/>
                          <w:szCs w:val="28"/>
                        </w:rPr>
                        <w:sym w:font="Wingdings" w:char="F036"/>
                      </w:r>
                      <w:r>
                        <w:rPr>
                          <w:rFonts w:ascii="Arial" w:hAnsi="Arial" w:cs="Arial"/>
                          <w:sz w:val="28"/>
                          <w:szCs w:val="28"/>
                        </w:rPr>
                        <w:t xml:space="preserve"> </w:t>
                      </w:r>
                      <w:r>
                        <w:rPr>
                          <w:rFonts w:ascii="Arial" w:hAnsi="Arial" w:cs="Arial"/>
                          <w:sz w:val="20"/>
                          <w:szCs w:val="20"/>
                        </w:rPr>
                        <w:t>Date de valeur (J = jour ouvré)</w:t>
                      </w:r>
                    </w:p>
                  </w:txbxContent>
                </v:textbox>
              </v:shape>
            </w:pict>
          </mc:Fallback>
        </mc:AlternateContent>
      </w:r>
      <w:r>
        <w:rPr>
          <w:rFonts w:ascii="Arial" w:hAnsi="Arial" w:cs="Arial"/>
          <w:b/>
          <w:bCs/>
        </w:rPr>
        <w:t>Demande de remboursement</w:t>
      </w:r>
    </w:p>
    <w:p w14:paraId="5FB86A5A" w14:textId="51F200DA" w:rsidR="00DC3E3F" w:rsidRDefault="00DC3E3F" w:rsidP="00DC3E3F">
      <w:pPr>
        <w:rPr>
          <w:rFonts w:ascii="ArialMT" w:hAnsi="ArialMT" w:cs="ArialMT"/>
          <w:sz w:val="20"/>
          <w:szCs w:val="20"/>
        </w:rPr>
      </w:pPr>
    </w:p>
    <w:p w14:paraId="40D4DCBB" w14:textId="77777777" w:rsidR="00DC3E3F" w:rsidRDefault="00DC3E3F" w:rsidP="00DC3E3F">
      <w:pPr>
        <w:rPr>
          <w:rFonts w:ascii="ArialMT" w:hAnsi="ArialMT" w:cs="ArialMT"/>
          <w:sz w:val="20"/>
          <w:szCs w:val="20"/>
        </w:rPr>
      </w:pPr>
    </w:p>
    <w:p w14:paraId="4124CA33" w14:textId="77777777" w:rsidR="00DC3E3F" w:rsidRDefault="00DC3E3F" w:rsidP="00DC3E3F">
      <w:pPr>
        <w:rPr>
          <w:rFonts w:ascii="ArialMT" w:hAnsi="ArialMT" w:cs="ArialMT"/>
          <w:sz w:val="20"/>
          <w:szCs w:val="20"/>
        </w:rPr>
      </w:pPr>
    </w:p>
    <w:p w14:paraId="3B6DDF51" w14:textId="77777777" w:rsidR="00DC3E3F" w:rsidRDefault="00DC3E3F" w:rsidP="00DC3E3F">
      <w:pPr>
        <w:rPr>
          <w:rFonts w:ascii="ArialMT" w:hAnsi="ArialMT" w:cs="ArialMT"/>
          <w:sz w:val="20"/>
          <w:szCs w:val="20"/>
        </w:rPr>
      </w:pPr>
    </w:p>
    <w:p w14:paraId="011D09A3" w14:textId="77777777" w:rsidR="00DC3E3F" w:rsidRDefault="00DC3E3F" w:rsidP="00DC3E3F">
      <w:pPr>
        <w:rPr>
          <w:rFonts w:ascii="ArialMT" w:hAnsi="ArialMT" w:cs="ArialMT"/>
          <w:sz w:val="20"/>
          <w:szCs w:val="20"/>
        </w:rPr>
      </w:pPr>
    </w:p>
    <w:p w14:paraId="52075235" w14:textId="77777777" w:rsidR="00DC3E3F" w:rsidRDefault="00DC3E3F" w:rsidP="00DC3E3F">
      <w:pPr>
        <w:rPr>
          <w:rFonts w:ascii="ArialMT" w:hAnsi="ArialMT" w:cs="ArialMT"/>
          <w:sz w:val="20"/>
          <w:szCs w:val="20"/>
        </w:rPr>
      </w:pPr>
    </w:p>
    <w:p w14:paraId="7DE9AA98" w14:textId="77777777" w:rsidR="00DC3E3F" w:rsidRDefault="00DC3E3F" w:rsidP="00DC3E3F">
      <w:pPr>
        <w:rPr>
          <w:rFonts w:ascii="ArialMT" w:hAnsi="ArialMT" w:cs="ArialMT"/>
          <w:sz w:val="20"/>
          <w:szCs w:val="20"/>
        </w:rPr>
      </w:pPr>
    </w:p>
    <w:p w14:paraId="084291BE" w14:textId="77777777" w:rsidR="00DC3E3F" w:rsidRDefault="00DC3E3F" w:rsidP="00DC3E3F">
      <w:pPr>
        <w:rPr>
          <w:rFonts w:ascii="ArialMT" w:hAnsi="ArialMT" w:cs="ArialMT"/>
          <w:sz w:val="20"/>
          <w:szCs w:val="20"/>
        </w:rPr>
      </w:pPr>
    </w:p>
    <w:p w14:paraId="7CDDD7B3" w14:textId="77777777" w:rsidR="00DC3E3F" w:rsidRDefault="00DC3E3F" w:rsidP="00DC3E3F">
      <w:pPr>
        <w:rPr>
          <w:rFonts w:ascii="ArialMT" w:hAnsi="ArialMT" w:cs="ArialMT"/>
          <w:sz w:val="20"/>
          <w:szCs w:val="20"/>
        </w:rPr>
      </w:pPr>
    </w:p>
    <w:p w14:paraId="65A8D846" w14:textId="77777777" w:rsidR="00DC3E3F" w:rsidRDefault="00DC3E3F" w:rsidP="00DC3E3F">
      <w:pPr>
        <w:rPr>
          <w:rFonts w:ascii="ArialMT" w:hAnsi="ArialMT" w:cs="ArialMT"/>
          <w:sz w:val="20"/>
          <w:szCs w:val="20"/>
        </w:rPr>
      </w:pPr>
    </w:p>
    <w:p w14:paraId="197DE527" w14:textId="77777777" w:rsidR="00DC3E3F" w:rsidRDefault="00DC3E3F" w:rsidP="00DC3E3F">
      <w:pPr>
        <w:rPr>
          <w:rFonts w:ascii="Arial" w:hAnsi="Arial" w:cs="Arial"/>
        </w:rPr>
      </w:pPr>
      <w:r>
        <w:rPr>
          <w:rFonts w:ascii="Arial" w:hAnsi="Arial" w:cs="Arial"/>
          <w:b/>
          <w:bCs/>
        </w:rPr>
        <w:t>Paiement des intérêts :</w:t>
      </w:r>
      <w:r>
        <w:rPr>
          <w:rFonts w:ascii="Arial" w:hAnsi="Arial" w:cs="Arial"/>
        </w:rPr>
        <w:t xml:space="preserve"> chaque trimestre civil par débit d’office</w:t>
      </w:r>
    </w:p>
    <w:p w14:paraId="0DCCB5FA" w14:textId="77777777" w:rsidR="00DC3E3F" w:rsidRDefault="00DC3E3F" w:rsidP="00DC3E3F">
      <w:pPr>
        <w:rPr>
          <w:rFonts w:ascii="Arial" w:hAnsi="Arial" w:cs="Arial"/>
        </w:rPr>
      </w:pPr>
      <w:r>
        <w:rPr>
          <w:rFonts w:ascii="Arial" w:hAnsi="Arial" w:cs="Arial"/>
          <w:b/>
          <w:bCs/>
        </w:rPr>
        <w:t>Frais de dossier :</w:t>
      </w:r>
      <w:r>
        <w:rPr>
          <w:rFonts w:ascii="Arial" w:hAnsi="Arial" w:cs="Arial"/>
        </w:rPr>
        <w:t xml:space="preserve"> 200 euros / prélevés une seule fois</w:t>
      </w:r>
    </w:p>
    <w:p w14:paraId="016E0321" w14:textId="77777777" w:rsidR="00DC3E3F" w:rsidRDefault="00DC3E3F" w:rsidP="00DC3E3F">
      <w:pPr>
        <w:rPr>
          <w:rFonts w:ascii="Arial" w:hAnsi="Arial" w:cs="Arial"/>
        </w:rPr>
      </w:pPr>
      <w:r>
        <w:rPr>
          <w:rFonts w:ascii="Arial" w:hAnsi="Arial" w:cs="Arial"/>
          <w:b/>
          <w:bCs/>
        </w:rPr>
        <w:t>Commission d’engagement :</w:t>
      </w:r>
      <w:r>
        <w:rPr>
          <w:rFonts w:ascii="Arial" w:hAnsi="Arial" w:cs="Arial"/>
        </w:rPr>
        <w:t xml:space="preserve"> 0 euros / prélevée une seule fois</w:t>
      </w:r>
    </w:p>
    <w:p w14:paraId="747AAB27" w14:textId="77777777" w:rsidR="00DC3E3F" w:rsidRDefault="00DC3E3F" w:rsidP="00DC3E3F">
      <w:pPr>
        <w:rPr>
          <w:rFonts w:ascii="Arial" w:hAnsi="Arial" w:cs="Arial"/>
        </w:rPr>
      </w:pPr>
      <w:r>
        <w:rPr>
          <w:rFonts w:ascii="Arial" w:hAnsi="Arial" w:cs="Arial"/>
          <w:b/>
          <w:bCs/>
        </w:rPr>
        <w:t>Commission de mouvement :</w:t>
      </w:r>
      <w:r>
        <w:rPr>
          <w:rFonts w:ascii="Arial" w:hAnsi="Arial" w:cs="Arial"/>
        </w:rPr>
        <w:t xml:space="preserve"> 0 % du cumul des tirages réalisés périodicité identique aux intérêts</w:t>
      </w:r>
    </w:p>
    <w:p w14:paraId="2104F0C8" w14:textId="77777777" w:rsidR="00DC3E3F" w:rsidRDefault="00DC3E3F" w:rsidP="00DC3E3F">
      <w:pPr>
        <w:rPr>
          <w:rFonts w:ascii="Arial" w:hAnsi="Arial" w:cs="Arial"/>
        </w:rPr>
      </w:pPr>
      <w:r>
        <w:rPr>
          <w:rFonts w:ascii="Arial" w:hAnsi="Arial" w:cs="Arial"/>
          <w:b/>
          <w:bCs/>
        </w:rPr>
        <w:t>Commission de non-utilisation :</w:t>
      </w:r>
      <w:r>
        <w:rPr>
          <w:rFonts w:ascii="Arial" w:hAnsi="Arial" w:cs="Arial"/>
        </w:rPr>
        <w:t xml:space="preserve"> 0.10 % de la différence entre le montant de la LTI et l’encours quotidien moyen périodicité identique aux intérêts. </w:t>
      </w:r>
    </w:p>
    <w:p w14:paraId="5595E02D" w14:textId="77777777" w:rsidR="00DC3E3F" w:rsidRDefault="00DC3E3F" w:rsidP="00DC3E3F">
      <w:pPr>
        <w:rPr>
          <w:rFonts w:ascii="ArialMT" w:hAnsi="ArialMT" w:cs="ArialMT"/>
          <w:sz w:val="20"/>
          <w:szCs w:val="20"/>
        </w:rPr>
      </w:pPr>
    </w:p>
    <w:p w14:paraId="71C60F09" w14:textId="77777777" w:rsidR="00DC3E3F" w:rsidRDefault="00DC3E3F" w:rsidP="00DC3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u w:val="single"/>
        </w:rPr>
      </w:pPr>
      <w:r>
        <w:rPr>
          <w:rFonts w:ascii="Arial" w:hAnsi="Arial" w:cs="Arial"/>
          <w:b/>
          <w:bCs/>
          <w:u w:val="single"/>
        </w:rPr>
        <w:t>039 – DEMANDE DE SUBVENTION</w:t>
      </w:r>
    </w:p>
    <w:p w14:paraId="563BD3AA"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Monsieur le maire fait part au conseil municipal du courrier de Mme KIEFFER, Professeur des écoles de la classe de CE1/CE2 de l’école élémentaire de Monoblet sollicitant de la mairie, une aide financière en vue d’une participation à une classe découverte en péniche sur le canal du Midi d’un enfant domicilié sur la commune de Saint-Félix-de-Pallières.</w:t>
      </w:r>
    </w:p>
    <w:p w14:paraId="5034034A"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 xml:space="preserve">Le conseil municipal, après en avoir délibéré, décide à l’unanimité des membres présents plus deux pouvoirs : </w:t>
      </w:r>
    </w:p>
    <w:p w14:paraId="766F0240" w14:textId="77777777" w:rsidR="00DC3E3F" w:rsidRDefault="00DC3E3F" w:rsidP="00DC3E3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De participer à hauteur de 50 € à l’organisation de cette classe découverte et d’inscrire cette dépense au C/65738</w:t>
      </w:r>
    </w:p>
    <w:p w14:paraId="1BB63F52" w14:textId="77777777" w:rsidR="00DC3E3F" w:rsidRDefault="00DC3E3F" w:rsidP="00DC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39A8002F" w14:textId="77777777" w:rsidR="00DC3E3F" w:rsidRDefault="00DC3E3F" w:rsidP="00DC3E3F">
      <w:pPr>
        <w:jc w:val="both"/>
        <w:rPr>
          <w:rFonts w:ascii="Arial" w:hAnsi="Arial" w:cs="Arial"/>
          <w:b/>
          <w:bCs/>
          <w:u w:val="single"/>
        </w:rPr>
      </w:pPr>
      <w:r>
        <w:rPr>
          <w:rFonts w:ascii="Arial" w:hAnsi="Arial" w:cs="Arial"/>
          <w:b/>
          <w:bCs/>
          <w:u w:val="single"/>
        </w:rPr>
        <w:t>040 - CONVENTION FELIX &amp; CIE : AVENANT</w:t>
      </w:r>
    </w:p>
    <w:p w14:paraId="7D1BEB47" w14:textId="77777777" w:rsidR="00DC3E3F" w:rsidRDefault="00DC3E3F" w:rsidP="00DC3E3F">
      <w:pPr>
        <w:pStyle w:val="Normal0"/>
        <w:jc w:val="both"/>
        <w:rPr>
          <w:sz w:val="22"/>
          <w:szCs w:val="22"/>
        </w:rPr>
      </w:pPr>
      <w:r>
        <w:rPr>
          <w:sz w:val="22"/>
          <w:szCs w:val="22"/>
        </w:rPr>
        <w:t>Vu la convention ratifiée le 04 avril 2022, par laquelle la commune de Saint-Félix-de-Pallières mettait à disposition de l'association Félix &amp; Cie, l'Ancienne Poste moyennant un loyer d'un montant de 150 € mensuel ;</w:t>
      </w:r>
    </w:p>
    <w:p w14:paraId="331E0BB0" w14:textId="77777777" w:rsidR="00DC3E3F" w:rsidRDefault="00DC3E3F" w:rsidP="00DC3E3F">
      <w:pPr>
        <w:pStyle w:val="Normal0"/>
        <w:jc w:val="both"/>
        <w:rPr>
          <w:sz w:val="22"/>
          <w:szCs w:val="22"/>
        </w:rPr>
      </w:pPr>
      <w:r>
        <w:rPr>
          <w:sz w:val="22"/>
          <w:szCs w:val="22"/>
        </w:rPr>
        <w:t>Vu les délibérations 2020-375 et 2021-426 par lesquelles les élus décidaient la rénovation de l'Ancienne Poste ;</w:t>
      </w:r>
    </w:p>
    <w:p w14:paraId="22B33362" w14:textId="77777777" w:rsidR="00DC3E3F" w:rsidRDefault="00DC3E3F" w:rsidP="00DC3E3F">
      <w:pPr>
        <w:pStyle w:val="Normal0"/>
        <w:jc w:val="both"/>
        <w:rPr>
          <w:sz w:val="22"/>
          <w:szCs w:val="22"/>
        </w:rPr>
      </w:pPr>
      <w:r>
        <w:rPr>
          <w:sz w:val="22"/>
          <w:szCs w:val="22"/>
        </w:rPr>
        <w:t xml:space="preserve">Considérant le début des travaux et l'impossibilité d'occuper le local </w:t>
      </w:r>
    </w:p>
    <w:p w14:paraId="4FC70547" w14:textId="77777777" w:rsidR="00DC3E3F" w:rsidRDefault="00DC3E3F" w:rsidP="00DC3E3F">
      <w:pPr>
        <w:pStyle w:val="Normal0"/>
        <w:jc w:val="both"/>
        <w:rPr>
          <w:sz w:val="22"/>
          <w:szCs w:val="22"/>
        </w:rPr>
      </w:pPr>
      <w:r>
        <w:rPr>
          <w:sz w:val="22"/>
          <w:szCs w:val="22"/>
        </w:rPr>
        <w:t>Le Conseil municipal après délibération et à l'unanimité des membres présents plus deux pouvoirs décident :</w:t>
      </w:r>
    </w:p>
    <w:p w14:paraId="27409C45" w14:textId="3D5D3BAF" w:rsidR="00DC3E3F" w:rsidRDefault="00DC3E3F" w:rsidP="00DC3E3F">
      <w:pPr>
        <w:pStyle w:val="Normal0"/>
        <w:jc w:val="both"/>
        <w:rPr>
          <w:sz w:val="22"/>
          <w:szCs w:val="22"/>
        </w:rPr>
      </w:pPr>
      <w:r>
        <w:rPr>
          <w:sz w:val="22"/>
          <w:szCs w:val="22"/>
        </w:rPr>
        <w:t xml:space="preserve"> - de mettre à disposition de l'association Félix &amp; Cie la salle polyvalente afin qu'elle puisse </w:t>
      </w:r>
      <w:r>
        <w:rPr>
          <w:sz w:val="22"/>
          <w:szCs w:val="22"/>
        </w:rPr>
        <w:lastRenderedPageBreak/>
        <w:t xml:space="preserve">poursuivre les animations proposées à la population ainsi que l'ancienne salle du conseil (les lundi et jeudi) et ce jusqu'à la fin des travaux. Les cours de EU-PILATES, de QI GONG ainsi que la chorale de Saint-Félix pourront poursuivre leurs activités. </w:t>
      </w:r>
    </w:p>
    <w:p w14:paraId="74B7C021" w14:textId="77777777" w:rsidR="00DC3E3F" w:rsidRDefault="00DC3E3F" w:rsidP="00DC3E3F">
      <w:pPr>
        <w:pStyle w:val="Normal0"/>
        <w:jc w:val="both"/>
        <w:rPr>
          <w:sz w:val="22"/>
          <w:szCs w:val="22"/>
        </w:rPr>
      </w:pPr>
      <w:r>
        <w:rPr>
          <w:sz w:val="22"/>
          <w:szCs w:val="22"/>
        </w:rPr>
        <w:t xml:space="preserve">- d'établir à partir du 1er novembre 2023 le loyer à 400 euros. </w:t>
      </w:r>
    </w:p>
    <w:p w14:paraId="4852B39D" w14:textId="77777777" w:rsidR="00DC3E3F" w:rsidRDefault="00DC3E3F" w:rsidP="00DC3E3F">
      <w:pPr>
        <w:pStyle w:val="Normal0"/>
        <w:rPr>
          <w:sz w:val="22"/>
          <w:szCs w:val="22"/>
        </w:rPr>
      </w:pPr>
    </w:p>
    <w:p w14:paraId="27C1712B" w14:textId="77777777" w:rsidR="00DC3E3F" w:rsidRDefault="00DC3E3F" w:rsidP="00DC3E3F">
      <w:pPr>
        <w:jc w:val="both"/>
        <w:rPr>
          <w:rFonts w:ascii="Arial" w:hAnsi="Arial" w:cs="Arial"/>
          <w:b/>
          <w:bCs/>
          <w:u w:val="single"/>
        </w:rPr>
      </w:pPr>
      <w:r>
        <w:rPr>
          <w:rFonts w:ascii="Arial" w:hAnsi="Arial" w:cs="Arial"/>
          <w:b/>
          <w:bCs/>
          <w:u w:val="single"/>
        </w:rPr>
        <w:t>041 – PARTICIPATION DE LA COMMUNE A LA SOCIETE PUBLIQUE LOCALE « SPL30 » ET A LA DESIGNATION DE SES REPRESENTANTS A L’ASSEMBLEE SPECIALE ET AUX ASSEMBLEES GENERALES</w:t>
      </w:r>
    </w:p>
    <w:p w14:paraId="431F3E03" w14:textId="77777777" w:rsidR="00DC3E3F" w:rsidRDefault="00DC3E3F" w:rsidP="00DC3E3F">
      <w:pPr>
        <w:jc w:val="both"/>
        <w:rPr>
          <w:rFonts w:ascii="Arial" w:hAnsi="Arial" w:cs="Arial"/>
          <w:lang w:eastAsia="en-US"/>
        </w:rPr>
      </w:pPr>
      <w:r>
        <w:rPr>
          <w:rFonts w:ascii="Arial" w:hAnsi="Arial" w:cs="Arial"/>
          <w:lang w:eastAsia="en-US"/>
        </w:rPr>
        <w:t xml:space="preserve">Il est exposé ce qui suit : </w:t>
      </w:r>
    </w:p>
    <w:p w14:paraId="209AC631" w14:textId="77777777" w:rsidR="00DC3E3F" w:rsidRDefault="00DC3E3F" w:rsidP="00DC3E3F">
      <w:pPr>
        <w:jc w:val="both"/>
        <w:rPr>
          <w:rFonts w:ascii="Arial" w:hAnsi="Arial" w:cs="Arial"/>
          <w:lang w:eastAsia="en-US"/>
        </w:rPr>
      </w:pPr>
    </w:p>
    <w:p w14:paraId="07ED8E55" w14:textId="3CC779B9" w:rsidR="00DC3E3F" w:rsidRDefault="00DC3E3F" w:rsidP="00DC3E3F">
      <w:pPr>
        <w:jc w:val="both"/>
        <w:rPr>
          <w:rFonts w:ascii="Arial" w:hAnsi="Arial" w:cs="Arial"/>
          <w:lang w:eastAsia="en-US"/>
        </w:rPr>
      </w:pPr>
      <w:r>
        <w:rPr>
          <w:rFonts w:ascii="Arial" w:hAnsi="Arial" w:cs="Arial"/>
          <w:lang w:eastAsia="en-US"/>
        </w:rPr>
        <w:t xml:space="preserve">Les Sociétés publiques locales (SPL), créées par la loi </w:t>
      </w:r>
      <w:r>
        <w:rPr>
          <w:rFonts w:ascii="Arial" w:hAnsi="Arial" w:cs="Arial"/>
          <w:bCs/>
          <w:lang w:eastAsia="en-US"/>
        </w:rPr>
        <w:t>n° 2010-559</w:t>
      </w:r>
      <w:r>
        <w:rPr>
          <w:rFonts w:ascii="Arial" w:hAnsi="Arial" w:cs="Arial"/>
          <w:b/>
          <w:bCs/>
          <w:lang w:eastAsia="en-US"/>
        </w:rPr>
        <w:t xml:space="preserve"> </w:t>
      </w:r>
      <w:r>
        <w:rPr>
          <w:rFonts w:ascii="Arial" w:hAnsi="Arial" w:cs="Arial"/>
          <w:lang w:eastAsia="en-US"/>
        </w:rPr>
        <w:t>du 28 mai 2010, constituent un nouveau mode d’intervention à la disposition des collectivités locales. Sociétés anonymes créées et intégralement détenues par des collectivités locales et leur groupement, elles exercent leurs activités exclusivement pour le compte de leurs actionnaires sur le territoire des collectivités territoriales et des groupements de collectivités territoriales qui en sont membres. Ces sociétés peuvent intervenir notamment dans les domaines de l'aménagement et de la construction permettant donc d’apporter une réponse globale aux besoins des communes et de leur groupement.</w:t>
      </w:r>
    </w:p>
    <w:p w14:paraId="3F7A07DB" w14:textId="77777777" w:rsidR="00DC3E3F" w:rsidRDefault="00DC3E3F" w:rsidP="00DC3E3F">
      <w:pPr>
        <w:jc w:val="both"/>
        <w:rPr>
          <w:rFonts w:ascii="Arial" w:hAnsi="Arial" w:cs="Arial"/>
          <w:lang w:eastAsia="en-US"/>
        </w:rPr>
      </w:pPr>
    </w:p>
    <w:p w14:paraId="478C2025" w14:textId="77777777" w:rsidR="00DC3E3F" w:rsidRDefault="00DC3E3F" w:rsidP="00DC3E3F">
      <w:pPr>
        <w:jc w:val="both"/>
        <w:rPr>
          <w:rFonts w:ascii="Arial" w:hAnsi="Arial" w:cs="Arial"/>
          <w:lang w:eastAsia="en-US"/>
        </w:rPr>
      </w:pPr>
      <w:r>
        <w:rPr>
          <w:rFonts w:ascii="Arial" w:hAnsi="Arial" w:cs="Arial"/>
          <w:lang w:eastAsia="en-US"/>
        </w:rPr>
        <w:t>L’outil de la SPL dispose de nombreux avantages : la simplicité juridique, la performance et le gain de temps pour mener à bien des opérations et activités d’intérêt général. Elle revêt la forme de société anonyme régie par le Code de commerce, dont le capital est uniquement public. Les statuts ont été mis à disposition des membres de l’assemblée.</w:t>
      </w:r>
    </w:p>
    <w:p w14:paraId="65B9FF22" w14:textId="77777777" w:rsidR="00DC3E3F" w:rsidRDefault="00DC3E3F" w:rsidP="00DC3E3F">
      <w:pPr>
        <w:jc w:val="both"/>
        <w:rPr>
          <w:rFonts w:ascii="Arial" w:hAnsi="Arial" w:cs="Arial"/>
          <w:lang w:eastAsia="en-US"/>
        </w:rPr>
      </w:pPr>
    </w:p>
    <w:p w14:paraId="2B7DB76F" w14:textId="77777777" w:rsidR="00DC3E3F" w:rsidRDefault="00DC3E3F" w:rsidP="00DC3E3F">
      <w:pPr>
        <w:jc w:val="both"/>
        <w:rPr>
          <w:rFonts w:ascii="Arial" w:hAnsi="Arial" w:cs="Arial"/>
          <w:lang w:eastAsia="en-US"/>
        </w:rPr>
      </w:pPr>
      <w:r>
        <w:rPr>
          <w:rFonts w:ascii="Arial" w:hAnsi="Arial" w:cs="Arial"/>
          <w:lang w:eastAsia="en-US"/>
        </w:rPr>
        <w:t xml:space="preserve">A travers leur participation aux organes de la SPL et la mise en place de contrôle spécifique, les collectivités membres exercent un pouvoir qualifié de contrôle analogue à celui qu’elles exercent sur leurs propres services. Considérée ainsi comme un opérateur interne, la SPL a donc vocation </w:t>
      </w:r>
    </w:p>
    <w:p w14:paraId="10F2EF60" w14:textId="77777777" w:rsidR="00DC3E3F" w:rsidRDefault="00DC3E3F" w:rsidP="00DC3E3F">
      <w:pPr>
        <w:jc w:val="both"/>
        <w:rPr>
          <w:rFonts w:ascii="Arial" w:hAnsi="Arial" w:cs="Arial"/>
          <w:lang w:eastAsia="en-US"/>
        </w:rPr>
      </w:pPr>
      <w:proofErr w:type="gramStart"/>
      <w:r>
        <w:rPr>
          <w:rFonts w:ascii="Arial" w:hAnsi="Arial" w:cs="Arial"/>
          <w:lang w:eastAsia="en-US"/>
        </w:rPr>
        <w:t>à</w:t>
      </w:r>
      <w:proofErr w:type="gramEnd"/>
      <w:r>
        <w:rPr>
          <w:rFonts w:ascii="Arial" w:hAnsi="Arial" w:cs="Arial"/>
          <w:lang w:eastAsia="en-US"/>
        </w:rPr>
        <w:t xml:space="preserve"> intervenir pour le compte de ses actionnaires dans le cadre de prestations intégrées (« in house »).</w:t>
      </w:r>
    </w:p>
    <w:p w14:paraId="52D5E561" w14:textId="77777777" w:rsidR="00DC3E3F" w:rsidRDefault="00DC3E3F" w:rsidP="00DC3E3F">
      <w:pPr>
        <w:jc w:val="both"/>
        <w:rPr>
          <w:rFonts w:ascii="Arial" w:hAnsi="Arial" w:cs="Arial"/>
          <w:lang w:eastAsia="en-US"/>
        </w:rPr>
      </w:pPr>
    </w:p>
    <w:p w14:paraId="72CD9A38" w14:textId="77777777" w:rsidR="00DC3E3F" w:rsidRDefault="00DC3E3F" w:rsidP="00DC3E3F">
      <w:pPr>
        <w:jc w:val="both"/>
        <w:rPr>
          <w:rFonts w:ascii="Arial" w:hAnsi="Arial" w:cs="Arial"/>
          <w:lang w:eastAsia="en-US"/>
        </w:rPr>
      </w:pPr>
      <w:r>
        <w:rPr>
          <w:rFonts w:ascii="Arial" w:hAnsi="Arial" w:cs="Arial"/>
          <w:lang w:eastAsia="en-US"/>
        </w:rPr>
        <w:t xml:space="preserve">Le Département et le Syndicat Mixte du Bois de Minteau ont créé en 2015 un véritable outil d’intervention opérationnelle, « la SPL 30 » avec un capital de 225 000 €. Depuis de nombreuses collectivités sont devenues actionnaires. </w:t>
      </w:r>
    </w:p>
    <w:p w14:paraId="54A24A55" w14:textId="77777777" w:rsidR="00DC3E3F" w:rsidRDefault="00DC3E3F" w:rsidP="00DC3E3F">
      <w:pPr>
        <w:jc w:val="both"/>
        <w:rPr>
          <w:rFonts w:ascii="Arial" w:hAnsi="Arial" w:cs="Arial"/>
          <w:lang w:eastAsia="en-US"/>
        </w:rPr>
      </w:pPr>
      <w:r>
        <w:rPr>
          <w:rFonts w:ascii="Arial" w:hAnsi="Arial" w:cs="Arial"/>
          <w:lang w:eastAsia="en-US"/>
        </w:rPr>
        <w:t>La SPL 30 a plus précisément pour objet la conduite et le développement d’actions et d’opérations d’aménagement et de construction, concourant notamment au développement économique et à l’attractivité du territoire, exclusivement pour le compte de ses actionnaires et sur leur territoire géographique. Entièrement contrôlée par des personnes publiques, la SPL, par ses caractéristiques, permet la conciliation de ce contrôle public, d’une souplesse de gestion et de contractualisation, et le bénéfice d’une expertise et de moyens mutualisés. En effet, pour optimiser le fonctionnement de la SPL, un groupement d’intérêt économique (GIE) de moyens, doté d’un personnel propre a été créé avec la société SEGARD. Ce dispositif a permis la mise en commun des moyens liés aux missions fonctionnelles transversales aux deux sociétés (direction technique, administrative et financière, comptabilité, juridique, marchés publics etc.).</w:t>
      </w:r>
    </w:p>
    <w:p w14:paraId="710A7F9C" w14:textId="77777777" w:rsidR="00DC3E3F" w:rsidRDefault="00DC3E3F" w:rsidP="00DC3E3F">
      <w:pPr>
        <w:jc w:val="both"/>
        <w:rPr>
          <w:rFonts w:ascii="Arial" w:hAnsi="Arial" w:cs="Arial"/>
          <w:lang w:eastAsia="en-US"/>
        </w:rPr>
      </w:pPr>
      <w:r>
        <w:rPr>
          <w:rFonts w:ascii="Arial" w:hAnsi="Arial" w:cs="Arial"/>
          <w:lang w:eastAsia="en-US"/>
        </w:rPr>
        <w:t xml:space="preserve">La collectivité souhaite entrer au capital de la SPL30, et cela s’effectuera par l’acquisition d’une action de 100 € auprès du Département ou le cas échéant du Syndicat mixte du bois de Minteau. </w:t>
      </w:r>
    </w:p>
    <w:p w14:paraId="3ACE709E" w14:textId="77777777" w:rsidR="00DC3E3F" w:rsidRDefault="00DC3E3F" w:rsidP="00DC3E3F">
      <w:pPr>
        <w:jc w:val="both"/>
        <w:rPr>
          <w:rFonts w:ascii="Arial" w:hAnsi="Arial" w:cs="Arial"/>
          <w:lang w:eastAsia="en-US"/>
        </w:rPr>
      </w:pPr>
    </w:p>
    <w:p w14:paraId="1CC33B70" w14:textId="77777777" w:rsidR="00DC3E3F" w:rsidRDefault="00DC3E3F" w:rsidP="00DC3E3F">
      <w:pPr>
        <w:jc w:val="both"/>
        <w:rPr>
          <w:rFonts w:ascii="Arial" w:hAnsi="Arial" w:cs="Arial"/>
          <w:lang w:eastAsia="en-US"/>
        </w:rPr>
      </w:pPr>
      <w:r>
        <w:rPr>
          <w:rFonts w:ascii="Arial" w:hAnsi="Arial" w:cs="Arial"/>
          <w:lang w:eastAsia="en-US"/>
        </w:rPr>
        <w:t xml:space="preserve">Compte tenu de cette part de capital, la collectivité siègera au sein de l'Assemblée spéciale, qui bénéficie d'un poste d'administrateur, représentant collectivement ses membres. </w:t>
      </w:r>
    </w:p>
    <w:p w14:paraId="08CBE998" w14:textId="77777777" w:rsidR="00DC3E3F" w:rsidRDefault="00DC3E3F" w:rsidP="00DC3E3F">
      <w:pPr>
        <w:jc w:val="both"/>
        <w:rPr>
          <w:rFonts w:ascii="Arial" w:hAnsi="Arial" w:cs="Arial"/>
          <w:lang w:eastAsia="en-US"/>
        </w:rPr>
      </w:pPr>
    </w:p>
    <w:p w14:paraId="42ED5C1B" w14:textId="4B957D2E" w:rsidR="00DC3E3F" w:rsidRDefault="00DC3E3F" w:rsidP="00DC3E3F">
      <w:pPr>
        <w:jc w:val="both"/>
        <w:rPr>
          <w:rFonts w:ascii="Arial" w:hAnsi="Arial" w:cs="Arial"/>
          <w:lang w:eastAsia="en-US"/>
        </w:rPr>
      </w:pPr>
      <w:r>
        <w:rPr>
          <w:rFonts w:ascii="Arial" w:hAnsi="Arial" w:cs="Arial"/>
          <w:lang w:eastAsia="en-US"/>
        </w:rPr>
        <w:t xml:space="preserve">Les statuts de la SPL 30 prévoient en leur article 12 que toute cession d’action doit être préalablement autorisée par décision de l’organe délibérant de la collectivité territoriale concernée, c'est-à-dire le Département ou syndicat mixte, et avoir un agrément du Conseil </w:t>
      </w:r>
      <w:r>
        <w:rPr>
          <w:rFonts w:ascii="Arial" w:hAnsi="Arial" w:cs="Arial"/>
          <w:lang w:eastAsia="en-US"/>
        </w:rPr>
        <w:lastRenderedPageBreak/>
        <w:t>d’administration. Une fois les formalités précitées accomplies, la collectivité sera actionnaire de la SPL 30.</w:t>
      </w:r>
    </w:p>
    <w:p w14:paraId="26F33E78" w14:textId="77777777" w:rsidR="00DC3E3F" w:rsidRDefault="00DC3E3F" w:rsidP="00DC3E3F">
      <w:pPr>
        <w:jc w:val="both"/>
        <w:rPr>
          <w:rFonts w:ascii="Arial" w:hAnsi="Arial" w:cs="Arial"/>
          <w:b/>
          <w:lang w:eastAsia="en-US"/>
        </w:rPr>
      </w:pPr>
    </w:p>
    <w:p w14:paraId="5CB04015" w14:textId="77777777" w:rsidR="00DC3E3F" w:rsidRDefault="00DC3E3F" w:rsidP="00DC3E3F">
      <w:pPr>
        <w:jc w:val="both"/>
        <w:rPr>
          <w:rFonts w:ascii="Arial" w:hAnsi="Arial" w:cs="Arial"/>
          <w:b/>
          <w:lang w:eastAsia="en-US"/>
        </w:rPr>
      </w:pPr>
      <w:r>
        <w:rPr>
          <w:rFonts w:ascii="Arial" w:hAnsi="Arial" w:cs="Arial"/>
          <w:b/>
          <w:lang w:eastAsia="en-US"/>
        </w:rPr>
        <w:t>Après avoir délibéré, le Conseil Municipal adopte par 10 voix pour dont 2 pouvoirs et 1 abstention, Mme LOUBIER, les conclusions du rapport qui précède et sous réserve de l’accomplissement des formalités précitées :</w:t>
      </w:r>
    </w:p>
    <w:p w14:paraId="70975233" w14:textId="77777777" w:rsidR="00DC3E3F" w:rsidRDefault="00DC3E3F" w:rsidP="00DC3E3F">
      <w:pPr>
        <w:ind w:left="709"/>
        <w:contextualSpacing/>
        <w:jc w:val="both"/>
        <w:rPr>
          <w:rFonts w:ascii="Arial" w:hAnsi="Arial" w:cs="Arial"/>
          <w:lang w:eastAsia="en-US"/>
        </w:rPr>
      </w:pPr>
    </w:p>
    <w:p w14:paraId="78394FEE"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 xml:space="preserve">Approuve les statuts. </w:t>
      </w:r>
    </w:p>
    <w:p w14:paraId="49BC62C2"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 xml:space="preserve">Approuve le règlement intérieur de la société </w:t>
      </w:r>
    </w:p>
    <w:p w14:paraId="5B258BB6"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 xml:space="preserve">Approuve le règlement de l’assemblée spéciale </w:t>
      </w:r>
    </w:p>
    <w:p w14:paraId="4A6D99C9"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 xml:space="preserve">Se prononce en faveur d’une participation de la commune à la SPL 30 par cession de capital ; </w:t>
      </w:r>
    </w:p>
    <w:p w14:paraId="69B19799"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Décide l’acquisition de 1 action de 100 € auprès du Département ou du Syndicat mixte du bois de Minteau, soit une participation totale de 100 € dès lors que celui-ci aura délibéré ;</w:t>
      </w:r>
    </w:p>
    <w:p w14:paraId="5D11B1C8"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Sollicite l’agrément du Conseil d’administration de la SPL 30 ;</w:t>
      </w:r>
    </w:p>
    <w:p w14:paraId="0ADE2066"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 xml:space="preserve">Décide d’inscrire à cet effet au budget communal-chapitre 61 article 611 la somme de 100 € correspondant au montant de cette participation ; </w:t>
      </w:r>
    </w:p>
    <w:p w14:paraId="068D9B43"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Désigne Monsieur Bruno WEITZ, maire pour représenter la commune au sein de l’assemblée spéciale de la société et l’autorise à accepter toutes fonctions dans ce cadre ;</w:t>
      </w:r>
    </w:p>
    <w:p w14:paraId="018A0148"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Désigne Monsieur Bruno WEITZ pour représenter la commune aux Assemblées Générales et le dote de tous pouvoirs à cet effet ;</w:t>
      </w:r>
    </w:p>
    <w:p w14:paraId="265FD384" w14:textId="77777777" w:rsidR="00DC3E3F" w:rsidRDefault="00DC3E3F" w:rsidP="00DC3E3F">
      <w:pPr>
        <w:numPr>
          <w:ilvl w:val="0"/>
          <w:numId w:val="2"/>
        </w:numPr>
        <w:ind w:left="709" w:hanging="425"/>
        <w:contextualSpacing/>
        <w:jc w:val="both"/>
        <w:rPr>
          <w:rFonts w:ascii="Arial" w:hAnsi="Arial" w:cs="Arial"/>
          <w:lang w:eastAsia="en-US"/>
        </w:rPr>
      </w:pPr>
      <w:r>
        <w:rPr>
          <w:rFonts w:ascii="Arial" w:hAnsi="Arial" w:cs="Arial"/>
          <w:lang w:eastAsia="en-US"/>
        </w:rPr>
        <w:t>Donne tous pouvoir à Monsieur le Maire pour accomplir toutes les formalités, signer tous document et pièces nécessaires à la participation à la SPL 30.</w:t>
      </w:r>
    </w:p>
    <w:p w14:paraId="454236CF" w14:textId="77777777" w:rsidR="00DC3E3F" w:rsidRDefault="00DC3E3F" w:rsidP="00DC3E3F">
      <w:pPr>
        <w:jc w:val="both"/>
        <w:rPr>
          <w:rFonts w:ascii="Arial" w:hAnsi="Arial" w:cs="Arial"/>
          <w:b/>
          <w:bCs/>
          <w:u w:val="single"/>
          <w:lang w:eastAsia="en-US"/>
        </w:rPr>
      </w:pPr>
    </w:p>
    <w:p w14:paraId="183D8FF6" w14:textId="77777777" w:rsidR="00DC3E3F" w:rsidRDefault="00DC3E3F" w:rsidP="00DC3E3F">
      <w:pPr>
        <w:jc w:val="both"/>
        <w:rPr>
          <w:rFonts w:ascii="Arial" w:hAnsi="Arial" w:cs="Arial"/>
          <w:b/>
          <w:bCs/>
          <w:u w:val="single"/>
          <w:lang w:eastAsia="en-US"/>
        </w:rPr>
      </w:pPr>
      <w:r>
        <w:rPr>
          <w:rFonts w:ascii="Arial" w:hAnsi="Arial" w:cs="Arial"/>
          <w:b/>
          <w:bCs/>
          <w:u w:val="single"/>
          <w:lang w:eastAsia="en-US"/>
        </w:rPr>
        <w:t>042 – QUESTIONS DIVERSES</w:t>
      </w:r>
    </w:p>
    <w:p w14:paraId="0CC8899E" w14:textId="77777777" w:rsidR="00DC3E3F" w:rsidRPr="00DC3E3F" w:rsidRDefault="00DC3E3F" w:rsidP="00DC3E3F">
      <w:pPr>
        <w:jc w:val="both"/>
        <w:rPr>
          <w:rFonts w:ascii="Arial" w:hAnsi="Arial" w:cs="Arial"/>
          <w:b/>
          <w:bCs/>
          <w:u w:val="single"/>
        </w:rPr>
      </w:pPr>
      <w:r w:rsidRPr="00DC3E3F">
        <w:rPr>
          <w:rFonts w:ascii="Arial" w:hAnsi="Arial" w:cs="Arial"/>
          <w:b/>
          <w:bCs/>
          <w:u w:val="single"/>
        </w:rPr>
        <w:t>PROPOSITION DE VOTE D’UNE MOTION DE SOUTIEN AUX COMMUNES MINIERES POUR UNE REFORME PROFONDE DU CODE MINIER</w:t>
      </w:r>
    </w:p>
    <w:p w14:paraId="04541D30" w14:textId="77777777" w:rsidR="00DC3E3F" w:rsidRDefault="00DC3E3F" w:rsidP="00DC3E3F">
      <w:pPr>
        <w:jc w:val="both"/>
        <w:rPr>
          <w:rFonts w:ascii="Arial" w:hAnsi="Arial" w:cs="Arial"/>
        </w:rPr>
      </w:pPr>
      <w:r>
        <w:rPr>
          <w:rFonts w:ascii="Arial" w:hAnsi="Arial" w:cs="Arial"/>
        </w:rPr>
        <w:t>Considérant l’importance d’une réforme en profondeur du Code minier pour répondre notamment aux problèmes de « l’après-mine » rencontrés par les collectivités locales et les citoyens,</w:t>
      </w:r>
    </w:p>
    <w:p w14:paraId="29F0630D" w14:textId="77777777" w:rsidR="00DC3E3F" w:rsidRDefault="00DC3E3F" w:rsidP="00DC3E3F">
      <w:pPr>
        <w:jc w:val="both"/>
        <w:rPr>
          <w:rFonts w:ascii="Arial" w:hAnsi="Arial" w:cs="Arial"/>
        </w:rPr>
      </w:pPr>
      <w:r>
        <w:rPr>
          <w:rFonts w:ascii="Arial" w:hAnsi="Arial" w:cs="Arial"/>
        </w:rPr>
        <w:t>Considérant que 10% des communes métropolitaines sont concernées par une activité minière passée, représentant plus de 4.5 millions de personnes,</w:t>
      </w:r>
    </w:p>
    <w:p w14:paraId="0614AE70" w14:textId="77777777" w:rsidR="00DC3E3F" w:rsidRDefault="00DC3E3F" w:rsidP="00DC3E3F">
      <w:pPr>
        <w:jc w:val="both"/>
        <w:rPr>
          <w:rFonts w:ascii="Arial" w:hAnsi="Arial" w:cs="Arial"/>
        </w:rPr>
      </w:pPr>
      <w:r>
        <w:rPr>
          <w:rFonts w:ascii="Arial" w:hAnsi="Arial" w:cs="Arial"/>
        </w:rPr>
        <w:t>Considérant les exploitations minières en cours ainsi que les objectifs prospectifs pour le développement de nouvelles exploitations afin de répondre aux besoins de la transition écologique,</w:t>
      </w:r>
    </w:p>
    <w:p w14:paraId="6274A174" w14:textId="77777777" w:rsidR="00DC3E3F" w:rsidRDefault="00DC3E3F" w:rsidP="00DC3E3F">
      <w:pPr>
        <w:jc w:val="both"/>
        <w:rPr>
          <w:rFonts w:ascii="Arial" w:hAnsi="Arial" w:cs="Arial"/>
        </w:rPr>
      </w:pPr>
      <w:r>
        <w:rPr>
          <w:rFonts w:ascii="Arial" w:hAnsi="Arial" w:cs="Arial"/>
        </w:rPr>
        <w:t>Considérant les enjeux mondiaux sur les matières premières et les énergies, ainsi que les exigences légitimes de protection des populations et de l’environnement,</w:t>
      </w:r>
    </w:p>
    <w:p w14:paraId="2F62C3C5" w14:textId="77777777" w:rsidR="00DC3E3F" w:rsidRDefault="00DC3E3F" w:rsidP="00DC3E3F">
      <w:pPr>
        <w:jc w:val="both"/>
        <w:rPr>
          <w:rFonts w:ascii="Arial" w:hAnsi="Arial" w:cs="Arial"/>
        </w:rPr>
      </w:pPr>
      <w:r>
        <w:rPr>
          <w:rFonts w:ascii="Arial" w:hAnsi="Arial" w:cs="Arial"/>
        </w:rPr>
        <w:t>Considérant l’absence d’évolutions des problèmes liés à « l’après-mine », notamment sur la gestion des dommages existants et des risques miniers résiduels, ainsi que sur le régime des responsabilités et d’indemnisation,</w:t>
      </w:r>
    </w:p>
    <w:p w14:paraId="7AFD343B" w14:textId="77777777" w:rsidR="00DC3E3F" w:rsidRDefault="00DC3E3F" w:rsidP="00DC3E3F">
      <w:pPr>
        <w:jc w:val="both"/>
        <w:rPr>
          <w:rFonts w:ascii="Arial" w:hAnsi="Arial" w:cs="Arial"/>
        </w:rPr>
      </w:pPr>
      <w:r>
        <w:rPr>
          <w:rFonts w:ascii="Arial" w:hAnsi="Arial" w:cs="Arial"/>
        </w:rPr>
        <w:t xml:space="preserve">Considérant que l’injustice du système fiscal français, issue de l’histoire industrielle, nécessite une refonte profonde de la fiscalité minière pour répondre aux spécificités des territoires et aux enjeux d’écoresponsabilité des exploitations à venir, </w:t>
      </w:r>
    </w:p>
    <w:p w14:paraId="5EC9A934" w14:textId="77777777" w:rsidR="00DC3E3F" w:rsidRDefault="00DC3E3F" w:rsidP="00DC3E3F">
      <w:pPr>
        <w:jc w:val="both"/>
        <w:rPr>
          <w:rFonts w:ascii="Arial" w:hAnsi="Arial" w:cs="Arial"/>
        </w:rPr>
      </w:pPr>
      <w:r>
        <w:rPr>
          <w:rFonts w:ascii="Arial" w:hAnsi="Arial" w:cs="Arial"/>
        </w:rPr>
        <w:t>Considérant que ce statu quo sur les conséquences anthropiques des exploitations minières, fait supporter aux collectivités locales les charges financières inhérentes aux risques miniers résiduels et aux dommages miniers à la place de l’Etat,</w:t>
      </w:r>
    </w:p>
    <w:p w14:paraId="796D0DC6" w14:textId="77777777" w:rsidR="00DC3E3F" w:rsidRDefault="00DC3E3F" w:rsidP="00DC3E3F">
      <w:pPr>
        <w:jc w:val="both"/>
        <w:rPr>
          <w:rFonts w:ascii="Arial" w:hAnsi="Arial" w:cs="Arial"/>
        </w:rPr>
      </w:pPr>
      <w:r>
        <w:rPr>
          <w:rFonts w:ascii="Arial" w:hAnsi="Arial" w:cs="Arial"/>
        </w:rPr>
        <w:t xml:space="preserve">Le Conseil municipal à l’unanimité des membres présents plus 2 pouvoirs demande solennellement au Gouvernement d’ouvrir un véritable débat national sur le Code Minier, afin de construire un modèle minier juste et responsable avec l’ensemble des acteurs locaux et nationaux. </w:t>
      </w:r>
    </w:p>
    <w:p w14:paraId="67B6559F" w14:textId="77777777" w:rsidR="00DC3E3F" w:rsidRDefault="00DC3E3F" w:rsidP="00DC3E3F">
      <w:pPr>
        <w:jc w:val="both"/>
        <w:rPr>
          <w:rFonts w:ascii="Arial" w:hAnsi="Arial" w:cs="Arial"/>
          <w:b/>
          <w:bCs/>
        </w:rPr>
      </w:pPr>
      <w:r>
        <w:rPr>
          <w:rFonts w:ascii="Arial" w:hAnsi="Arial" w:cs="Arial"/>
          <w:b/>
          <w:bCs/>
        </w:rPr>
        <w:t xml:space="preserve"> </w:t>
      </w:r>
    </w:p>
    <w:p w14:paraId="1BB12899" w14:textId="40F038C9" w:rsidR="00DC3E3F" w:rsidRDefault="00DC3E3F" w:rsidP="00DC3E3F">
      <w:pPr>
        <w:jc w:val="both"/>
        <w:rPr>
          <w:rFonts w:ascii="Arial" w:hAnsi="Arial" w:cs="Arial"/>
        </w:rPr>
      </w:pPr>
      <w:r>
        <w:rPr>
          <w:rFonts w:ascii="Arial" w:hAnsi="Arial" w:cs="Arial"/>
          <w:b/>
          <w:bCs/>
          <w:u w:val="single"/>
        </w:rPr>
        <w:t>SECURISATION DU PUITS N°1 :</w:t>
      </w:r>
      <w:r>
        <w:rPr>
          <w:rFonts w:ascii="Arial" w:hAnsi="Arial" w:cs="Arial"/>
          <w:b/>
          <w:bCs/>
        </w:rPr>
        <w:t xml:space="preserve"> </w:t>
      </w:r>
      <w:r>
        <w:rPr>
          <w:rFonts w:ascii="Arial" w:hAnsi="Arial" w:cs="Arial"/>
        </w:rPr>
        <w:t>Passage d’un huissier pour</w:t>
      </w:r>
      <w:r>
        <w:rPr>
          <w:rFonts w:ascii="Arial" w:hAnsi="Arial" w:cs="Arial"/>
          <w:b/>
          <w:bCs/>
        </w:rPr>
        <w:t xml:space="preserve"> </w:t>
      </w:r>
      <w:r>
        <w:rPr>
          <w:rFonts w:ascii="Arial" w:hAnsi="Arial" w:cs="Arial"/>
        </w:rPr>
        <w:t xml:space="preserve">établissement constat avant travaux de sécurisation du puits n°1 par rapport à l’accès au chantier le 17 octobre 2023. Début </w:t>
      </w:r>
      <w:r>
        <w:rPr>
          <w:rFonts w:ascii="Arial" w:hAnsi="Arial" w:cs="Arial"/>
        </w:rPr>
        <w:lastRenderedPageBreak/>
        <w:t>des travaux le 23 octobre 2023 pour une durée estimée à une semaine par l’entreprise MTPS ; les troncs d’arbre seront pris en charge par l’entreprise.</w:t>
      </w:r>
    </w:p>
    <w:p w14:paraId="766F241C" w14:textId="77777777" w:rsidR="00DC3E3F" w:rsidRDefault="00DC3E3F" w:rsidP="00DC3E3F">
      <w:pPr>
        <w:jc w:val="both"/>
        <w:rPr>
          <w:rFonts w:ascii="Arial" w:hAnsi="Arial" w:cs="Arial"/>
          <w:lang w:eastAsia="en-US"/>
        </w:rPr>
      </w:pPr>
    </w:p>
    <w:p w14:paraId="20C93EA9" w14:textId="77777777" w:rsidR="00DC3E3F" w:rsidRDefault="00DC3E3F" w:rsidP="00DC3E3F">
      <w:pPr>
        <w:jc w:val="both"/>
        <w:rPr>
          <w:rFonts w:ascii="Arial" w:hAnsi="Arial" w:cs="Arial"/>
        </w:rPr>
      </w:pPr>
      <w:r w:rsidRPr="00DC3E3F">
        <w:rPr>
          <w:rFonts w:ascii="Arial" w:hAnsi="Arial" w:cs="Arial"/>
          <w:b/>
          <w:bCs/>
          <w:u w:val="single"/>
        </w:rPr>
        <w:t>PLU :</w:t>
      </w:r>
      <w:r>
        <w:rPr>
          <w:rFonts w:ascii="Arial" w:hAnsi="Arial" w:cs="Arial"/>
        </w:rPr>
        <w:t xml:space="preserve"> Prochaine réunion de travail le 16 novembre 2023 sur le zonage. </w:t>
      </w:r>
    </w:p>
    <w:p w14:paraId="63758FDE" w14:textId="77777777" w:rsidR="00DC3E3F" w:rsidRDefault="00DC3E3F" w:rsidP="00DC3E3F">
      <w:pPr>
        <w:spacing w:before="100" w:beforeAutospacing="1" w:after="100" w:afterAutospacing="1"/>
        <w:rPr>
          <w:rFonts w:ascii="Arial" w:hAnsi="Arial" w:cs="Arial"/>
        </w:rPr>
      </w:pPr>
      <w:r w:rsidRPr="00DC3E3F">
        <w:rPr>
          <w:rFonts w:ascii="Arial" w:hAnsi="Arial" w:cs="Arial"/>
          <w:b/>
          <w:bCs/>
          <w:u w:val="single"/>
        </w:rPr>
        <w:t>EPTB GARDONS :</w:t>
      </w:r>
      <w:r>
        <w:rPr>
          <w:rFonts w:ascii="Arial" w:hAnsi="Arial" w:cs="Arial"/>
        </w:rPr>
        <w:t xml:space="preserve"> organise une journée-formation sur la thématique des toxiques miniers sur le site de la croix de Pallières le 17 novembre 2023. Ces visites sur le bassin versant des Gardons ont pour objectif d’éclairer les prises de décision des élus liées aux enjeux de l’eau.</w:t>
      </w:r>
    </w:p>
    <w:p w14:paraId="301D1383" w14:textId="77777777" w:rsidR="00DC3E3F" w:rsidRDefault="00DC3E3F" w:rsidP="00DC3E3F">
      <w:pPr>
        <w:spacing w:before="100" w:beforeAutospacing="1" w:after="100" w:afterAutospacing="1"/>
        <w:jc w:val="center"/>
        <w:rPr>
          <w:rFonts w:ascii="Arial" w:hAnsi="Arial" w:cs="Arial"/>
          <w:b/>
          <w:bCs/>
          <w:sz w:val="24"/>
          <w:szCs w:val="24"/>
        </w:rPr>
      </w:pPr>
      <w:r>
        <w:rPr>
          <w:rFonts w:ascii="Arial" w:hAnsi="Arial" w:cs="Arial"/>
          <w:b/>
          <w:bCs/>
          <w:sz w:val="24"/>
          <w:szCs w:val="24"/>
        </w:rPr>
        <w:t>SEANCE LEVEE A 19H15</w:t>
      </w:r>
    </w:p>
    <w:p w14:paraId="66825697" w14:textId="77777777" w:rsidR="00DC3E3F" w:rsidRDefault="00DC3E3F" w:rsidP="00DC3E3F">
      <w:pPr>
        <w:jc w:val="both"/>
        <w:rPr>
          <w:rFonts w:ascii="Arial" w:hAnsi="Arial" w:cs="Arial"/>
        </w:rPr>
      </w:pPr>
    </w:p>
    <w:p w14:paraId="5DC2AE3E"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Symbol" w:hAnsi="Symbol" w:cs="Symbol" w:hint="default"/>
        <w:b w:val="0"/>
        <w:bCs w:val="0"/>
        <w:i w:val="0"/>
        <w:iCs w:val="0"/>
        <w:strike w:val="0"/>
        <w:dstrike w:val="0"/>
        <w:color w:val="auto"/>
        <w:sz w:val="24"/>
        <w:szCs w:val="24"/>
        <w:u w:val="none"/>
        <w:effect w:val="none"/>
      </w:rPr>
    </w:lvl>
    <w:lvl w:ilvl="2">
      <w:start w:val="1"/>
      <w:numFmt w:val="bullet"/>
      <w:lvlText w:val=""/>
      <w:lvlJc w:val="left"/>
      <w:pPr>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ind w:left="3600" w:hanging="360"/>
      </w:pPr>
      <w:rPr>
        <w:rFonts w:ascii="Symbol" w:hAnsi="Symbol" w:cs="Symbol" w:hint="default"/>
        <w:b w:val="0"/>
        <w:bCs w:val="0"/>
        <w:i w:val="0"/>
        <w:iCs w:val="0"/>
        <w:strike w:val="0"/>
        <w:dstrike w:val="0"/>
        <w:color w:val="auto"/>
        <w:sz w:val="24"/>
        <w:szCs w:val="24"/>
        <w:u w:val="none"/>
        <w:effect w:val="none"/>
      </w:rPr>
    </w:lvl>
  </w:abstractNum>
  <w:abstractNum w:abstractNumId="1" w15:restartNumberingAfterBreak="0">
    <w:nsid w:val="10FD6B83"/>
    <w:multiLevelType w:val="hybridMultilevel"/>
    <w:tmpl w:val="FFFFFFFF"/>
    <w:lvl w:ilvl="0" w:tplc="DD30FEAC">
      <w:numFmt w:val="bullet"/>
      <w:lvlText w:val="•"/>
      <w:lvlJc w:val="left"/>
      <w:pPr>
        <w:ind w:left="1065" w:hanging="705"/>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2074808935">
    <w:abstractNumId w:val="0"/>
    <w:lvlOverride w:ilvl="0"/>
    <w:lvlOverride w:ilvl="1"/>
    <w:lvlOverride w:ilvl="2"/>
    <w:lvlOverride w:ilvl="3"/>
    <w:lvlOverride w:ilvl="4"/>
    <w:lvlOverride w:ilvl="5"/>
    <w:lvlOverride w:ilvl="6"/>
    <w:lvlOverride w:ilvl="7"/>
    <w:lvlOverride w:ilvl="8"/>
  </w:num>
  <w:num w:numId="2" w16cid:durableId="5353937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F"/>
    <w:rsid w:val="009B4552"/>
    <w:rsid w:val="00DC3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820D"/>
  <w15:chartTrackingRefBased/>
  <w15:docId w15:val="{278139AD-7992-4B8A-8D87-07EED4CD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3F"/>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C3E3F"/>
    <w:pPr>
      <w:widowControl w:val="0"/>
      <w:autoSpaceDE w:val="0"/>
      <w:autoSpaceDN w:val="0"/>
      <w:adjustRightInd w:val="0"/>
      <w:spacing w:after="0" w:line="240" w:lineRule="auto"/>
    </w:pPr>
    <w:rPr>
      <w:rFonts w:ascii="Arial" w:eastAsia="Times New Roman" w:hAnsi="Arial" w:cs="Arial"/>
      <w:kern w:val="0"/>
      <w:sz w:val="24"/>
      <w:szCs w:val="24"/>
      <w:lang w:eastAsia="fr-FR"/>
      <w14:ligatures w14:val="none"/>
    </w:rPr>
  </w:style>
  <w:style w:type="character" w:styleId="Lienhypertexte">
    <w:name w:val="Hyperlink"/>
    <w:basedOn w:val="Policepardfaut"/>
    <w:uiPriority w:val="99"/>
    <w:semiHidden/>
    <w:unhideWhenUsed/>
    <w:rsid w:val="00DC3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esimonperez@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2464</Words>
  <Characters>13558</Characters>
  <Application>Microsoft Office Word</Application>
  <DocSecurity>0</DocSecurity>
  <Lines>112</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2023-10-24T07:34:00Z</dcterms:created>
  <dcterms:modified xsi:type="dcterms:W3CDTF">2023-10-24T07:39:00Z</dcterms:modified>
</cp:coreProperties>
</file>